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54A6D" w14:textId="6EF9C1AE" w:rsidR="004837C6" w:rsidRDefault="004837C6" w:rsidP="004837C6">
      <w:pPr>
        <w:jc w:val="both"/>
      </w:pPr>
    </w:p>
    <w:p w14:paraId="41B50D17" w14:textId="77777777" w:rsidR="004837C6" w:rsidRDefault="004837C6" w:rsidP="004837C6">
      <w:pPr>
        <w:jc w:val="both"/>
      </w:pPr>
    </w:p>
    <w:p w14:paraId="59C40EDC" w14:textId="77777777" w:rsidR="004837C6" w:rsidRDefault="004837C6" w:rsidP="004837C6">
      <w:pPr>
        <w:jc w:val="both"/>
      </w:pPr>
    </w:p>
    <w:p w14:paraId="517AF027" w14:textId="77777777" w:rsidR="004837C6" w:rsidRDefault="004837C6" w:rsidP="004837C6">
      <w:pPr>
        <w:jc w:val="both"/>
      </w:pPr>
    </w:p>
    <w:p w14:paraId="745BE706" w14:textId="12965C1C" w:rsidR="004837C6" w:rsidRDefault="004837C6" w:rsidP="004837C6">
      <w:pPr>
        <w:jc w:val="both"/>
      </w:pPr>
    </w:p>
    <w:p w14:paraId="2D584942" w14:textId="77777777" w:rsidR="00C14855" w:rsidRDefault="00C14855" w:rsidP="004837C6">
      <w:pPr>
        <w:jc w:val="both"/>
      </w:pPr>
    </w:p>
    <w:p w14:paraId="04BACFBD" w14:textId="77777777" w:rsidR="008E6E77" w:rsidRDefault="008E6E77" w:rsidP="004837C6">
      <w:pPr>
        <w:jc w:val="both"/>
      </w:pPr>
    </w:p>
    <w:p w14:paraId="0DC03132" w14:textId="77777777" w:rsidR="008E6E77" w:rsidRDefault="008E6E77" w:rsidP="004837C6">
      <w:pPr>
        <w:jc w:val="both"/>
      </w:pPr>
    </w:p>
    <w:p w14:paraId="212C1319" w14:textId="77777777" w:rsidR="008E6E77" w:rsidRDefault="008E6E77" w:rsidP="008E14B4">
      <w:pPr>
        <w:jc w:val="center"/>
      </w:pPr>
    </w:p>
    <w:p w14:paraId="2AD5B359" w14:textId="096B3678" w:rsidR="00AC4CBB" w:rsidRPr="00133993" w:rsidRDefault="00AC4CBB" w:rsidP="00AC4CBB">
      <w:pPr>
        <w:pStyle w:val="Title"/>
        <w:spacing w:after="120"/>
        <w:jc w:val="center"/>
        <w:rPr>
          <w:sz w:val="44"/>
        </w:rPr>
      </w:pPr>
      <w:r>
        <w:rPr>
          <w:b/>
          <w:noProof/>
          <w:color w:val="660066"/>
          <w:szCs w:val="144"/>
          <w:lang w:val="en-US"/>
        </w:rPr>
        <w:t>NORTH WEST LONDON DATA ACCESS SUB-GROUP</w:t>
      </w:r>
    </w:p>
    <w:p w14:paraId="32E567F2" w14:textId="38B0ECE4" w:rsidR="004837C6" w:rsidRPr="006C78C3" w:rsidRDefault="004837C6" w:rsidP="008E14B4">
      <w:pPr>
        <w:jc w:val="center"/>
        <w:rPr>
          <w:b/>
          <w:color w:val="660066"/>
          <w:sz w:val="56"/>
          <w:szCs w:val="144"/>
        </w:rPr>
      </w:pPr>
    </w:p>
    <w:p w14:paraId="25D17BCB" w14:textId="77777777" w:rsidR="004837C6" w:rsidRPr="004837C6" w:rsidRDefault="004837C6" w:rsidP="008E14B4">
      <w:pPr>
        <w:tabs>
          <w:tab w:val="left" w:pos="993"/>
        </w:tabs>
        <w:jc w:val="center"/>
        <w:rPr>
          <w:rFonts w:ascii="Calibri" w:eastAsia="Calibri" w:hAnsi="Calibri" w:cs="Times New Roman"/>
          <w:b/>
          <w:sz w:val="32"/>
          <w:szCs w:val="36"/>
        </w:rPr>
      </w:pPr>
      <w:r w:rsidRPr="004837C6">
        <w:rPr>
          <w:rFonts w:ascii="Calibri" w:eastAsia="Calibri" w:hAnsi="Calibri" w:cs="Times New Roman"/>
          <w:b/>
          <w:sz w:val="32"/>
          <w:szCs w:val="36"/>
        </w:rPr>
        <w:t>Terms of Reference (ToR)</w:t>
      </w:r>
    </w:p>
    <w:p w14:paraId="7086DC28" w14:textId="77777777" w:rsidR="004837C6" w:rsidRDefault="004837C6" w:rsidP="004837C6">
      <w:pPr>
        <w:tabs>
          <w:tab w:val="left" w:pos="993"/>
        </w:tabs>
        <w:jc w:val="both"/>
      </w:pPr>
    </w:p>
    <w:p w14:paraId="00B8DA54" w14:textId="77777777" w:rsidR="004837C6" w:rsidRDefault="004837C6" w:rsidP="004837C6">
      <w:pPr>
        <w:tabs>
          <w:tab w:val="left" w:pos="993"/>
        </w:tabs>
        <w:jc w:val="both"/>
      </w:pPr>
    </w:p>
    <w:p w14:paraId="4E9C7C4A" w14:textId="703BA72A" w:rsidR="004837C6" w:rsidRDefault="004837C6" w:rsidP="004837C6">
      <w:pPr>
        <w:tabs>
          <w:tab w:val="left" w:pos="993"/>
        </w:tabs>
        <w:jc w:val="both"/>
      </w:pPr>
    </w:p>
    <w:p w14:paraId="3B88FA5B" w14:textId="10F957E4" w:rsidR="00C14855" w:rsidRDefault="00C14855" w:rsidP="004837C6">
      <w:pPr>
        <w:tabs>
          <w:tab w:val="left" w:pos="993"/>
        </w:tabs>
        <w:jc w:val="both"/>
      </w:pPr>
    </w:p>
    <w:p w14:paraId="4C070E6D" w14:textId="45C136C0" w:rsidR="00C14855" w:rsidRDefault="00C14855" w:rsidP="004837C6">
      <w:pPr>
        <w:tabs>
          <w:tab w:val="left" w:pos="993"/>
        </w:tabs>
        <w:jc w:val="both"/>
      </w:pPr>
    </w:p>
    <w:p w14:paraId="205E44B6" w14:textId="28E92AD0" w:rsidR="00C14855" w:rsidRDefault="00C14855" w:rsidP="004837C6">
      <w:pPr>
        <w:tabs>
          <w:tab w:val="left" w:pos="993"/>
        </w:tabs>
        <w:jc w:val="both"/>
      </w:pPr>
    </w:p>
    <w:p w14:paraId="141C4408" w14:textId="1B6AB1E9" w:rsidR="00C14855" w:rsidRDefault="00C14855" w:rsidP="004837C6">
      <w:pPr>
        <w:tabs>
          <w:tab w:val="left" w:pos="993"/>
        </w:tabs>
        <w:jc w:val="both"/>
      </w:pPr>
    </w:p>
    <w:p w14:paraId="67380AAA" w14:textId="6BFDFF7C" w:rsidR="00C14855" w:rsidRDefault="00C14855" w:rsidP="004837C6">
      <w:pPr>
        <w:tabs>
          <w:tab w:val="left" w:pos="993"/>
        </w:tabs>
        <w:jc w:val="both"/>
      </w:pPr>
    </w:p>
    <w:p w14:paraId="46E5B36E" w14:textId="77777777" w:rsidR="00C14855" w:rsidRDefault="00C14855" w:rsidP="004837C6">
      <w:pPr>
        <w:tabs>
          <w:tab w:val="left" w:pos="993"/>
        </w:tabs>
        <w:jc w:val="both"/>
      </w:pPr>
    </w:p>
    <w:p w14:paraId="6FFDA863" w14:textId="77777777" w:rsidR="00C14855" w:rsidRDefault="00C14855" w:rsidP="004837C6">
      <w:pPr>
        <w:tabs>
          <w:tab w:val="left" w:pos="993"/>
        </w:tabs>
        <w:jc w:val="both"/>
      </w:pPr>
    </w:p>
    <w:p w14:paraId="6459106D" w14:textId="77777777" w:rsidR="004837C6" w:rsidRDefault="004837C6" w:rsidP="004837C6">
      <w:pPr>
        <w:tabs>
          <w:tab w:val="left" w:pos="993"/>
        </w:tabs>
        <w:jc w:val="both"/>
      </w:pPr>
    </w:p>
    <w:tbl>
      <w:tblPr>
        <w:tblStyle w:val="TableGrid"/>
        <w:tblW w:w="0" w:type="auto"/>
        <w:tblLook w:val="04A0" w:firstRow="1" w:lastRow="0" w:firstColumn="1" w:lastColumn="0" w:noHBand="0" w:noVBand="1"/>
      </w:tblPr>
      <w:tblGrid>
        <w:gridCol w:w="914"/>
        <w:gridCol w:w="1182"/>
        <w:gridCol w:w="1632"/>
        <w:gridCol w:w="5288"/>
      </w:tblGrid>
      <w:tr w:rsidR="00B05B89" w14:paraId="33433C20" w14:textId="77777777" w:rsidTr="00C14855">
        <w:trPr>
          <w:trHeight w:val="454"/>
        </w:trPr>
        <w:tc>
          <w:tcPr>
            <w:tcW w:w="846" w:type="dxa"/>
            <w:shd w:val="clear" w:color="auto" w:fill="E7E6E6" w:themeFill="background2"/>
          </w:tcPr>
          <w:p w14:paraId="47D82054" w14:textId="77777777" w:rsidR="00B05B89" w:rsidRPr="00C14855" w:rsidRDefault="00B05B89" w:rsidP="004837C6">
            <w:pPr>
              <w:tabs>
                <w:tab w:val="left" w:pos="993"/>
              </w:tabs>
              <w:jc w:val="both"/>
              <w:rPr>
                <w:b/>
              </w:rPr>
            </w:pPr>
            <w:r w:rsidRPr="00C14855">
              <w:rPr>
                <w:b/>
              </w:rPr>
              <w:t>Version</w:t>
            </w:r>
          </w:p>
        </w:tc>
        <w:tc>
          <w:tcPr>
            <w:tcW w:w="1064" w:type="dxa"/>
            <w:shd w:val="clear" w:color="auto" w:fill="E7E6E6" w:themeFill="background2"/>
          </w:tcPr>
          <w:p w14:paraId="495D2496" w14:textId="77777777" w:rsidR="00B05B89" w:rsidRPr="00C14855" w:rsidRDefault="00B05B89" w:rsidP="004837C6">
            <w:pPr>
              <w:tabs>
                <w:tab w:val="left" w:pos="993"/>
              </w:tabs>
              <w:jc w:val="both"/>
              <w:rPr>
                <w:b/>
              </w:rPr>
            </w:pPr>
            <w:r w:rsidRPr="00C14855">
              <w:rPr>
                <w:b/>
              </w:rPr>
              <w:t>Date</w:t>
            </w:r>
          </w:p>
        </w:tc>
        <w:tc>
          <w:tcPr>
            <w:tcW w:w="1644" w:type="dxa"/>
            <w:shd w:val="clear" w:color="auto" w:fill="E7E6E6" w:themeFill="background2"/>
          </w:tcPr>
          <w:p w14:paraId="155161D1" w14:textId="77777777" w:rsidR="00B05B89" w:rsidRPr="00C14855" w:rsidRDefault="00B05B89" w:rsidP="004837C6">
            <w:pPr>
              <w:tabs>
                <w:tab w:val="left" w:pos="993"/>
              </w:tabs>
              <w:jc w:val="both"/>
              <w:rPr>
                <w:b/>
              </w:rPr>
            </w:pPr>
            <w:r w:rsidRPr="00C14855">
              <w:rPr>
                <w:b/>
              </w:rPr>
              <w:t>Modified by</w:t>
            </w:r>
          </w:p>
        </w:tc>
        <w:tc>
          <w:tcPr>
            <w:tcW w:w="5462" w:type="dxa"/>
            <w:shd w:val="clear" w:color="auto" w:fill="E7E6E6" w:themeFill="background2"/>
          </w:tcPr>
          <w:p w14:paraId="6E2241CD" w14:textId="77777777" w:rsidR="00B05B89" w:rsidRPr="00C14855" w:rsidRDefault="00B05B89" w:rsidP="004837C6">
            <w:pPr>
              <w:tabs>
                <w:tab w:val="left" w:pos="993"/>
              </w:tabs>
              <w:jc w:val="both"/>
              <w:rPr>
                <w:b/>
              </w:rPr>
            </w:pPr>
            <w:r w:rsidRPr="00C14855">
              <w:rPr>
                <w:b/>
              </w:rPr>
              <w:t>Updates</w:t>
            </w:r>
          </w:p>
        </w:tc>
      </w:tr>
      <w:tr w:rsidR="00B05B89" w14:paraId="0B3DE1CF" w14:textId="77777777" w:rsidTr="00C14855">
        <w:trPr>
          <w:trHeight w:val="454"/>
        </w:trPr>
        <w:tc>
          <w:tcPr>
            <w:tcW w:w="846" w:type="dxa"/>
            <w:vAlign w:val="center"/>
          </w:tcPr>
          <w:p w14:paraId="35666BC5" w14:textId="77777777" w:rsidR="00B05B89" w:rsidRPr="00C14855" w:rsidRDefault="00B05B89" w:rsidP="00C14855">
            <w:pPr>
              <w:tabs>
                <w:tab w:val="left" w:pos="993"/>
              </w:tabs>
              <w:rPr>
                <w:sz w:val="20"/>
              </w:rPr>
            </w:pPr>
            <w:r w:rsidRPr="00C14855">
              <w:rPr>
                <w:sz w:val="20"/>
              </w:rPr>
              <w:t>0.1</w:t>
            </w:r>
          </w:p>
        </w:tc>
        <w:tc>
          <w:tcPr>
            <w:tcW w:w="1064" w:type="dxa"/>
            <w:vAlign w:val="center"/>
          </w:tcPr>
          <w:p w14:paraId="35413DBB" w14:textId="42DA6DB8" w:rsidR="00B05B89" w:rsidRPr="00C14855" w:rsidRDefault="00725462" w:rsidP="00C14855">
            <w:pPr>
              <w:tabs>
                <w:tab w:val="left" w:pos="993"/>
              </w:tabs>
              <w:rPr>
                <w:sz w:val="20"/>
              </w:rPr>
            </w:pPr>
            <w:r>
              <w:rPr>
                <w:sz w:val="20"/>
              </w:rPr>
              <w:t>26</w:t>
            </w:r>
            <w:r w:rsidR="00AC4CBB">
              <w:rPr>
                <w:sz w:val="20"/>
              </w:rPr>
              <w:t>/11/2019</w:t>
            </w:r>
          </w:p>
        </w:tc>
        <w:tc>
          <w:tcPr>
            <w:tcW w:w="1644" w:type="dxa"/>
            <w:vAlign w:val="center"/>
          </w:tcPr>
          <w:p w14:paraId="22EA0E9E" w14:textId="7077373B" w:rsidR="00B05B89" w:rsidRPr="00C14855" w:rsidRDefault="00AC4CBB" w:rsidP="00C14855">
            <w:pPr>
              <w:tabs>
                <w:tab w:val="left" w:pos="993"/>
              </w:tabs>
              <w:rPr>
                <w:sz w:val="20"/>
              </w:rPr>
            </w:pPr>
            <w:r>
              <w:rPr>
                <w:sz w:val="20"/>
              </w:rPr>
              <w:t xml:space="preserve">T. </w:t>
            </w:r>
            <w:r w:rsidR="00301D1F">
              <w:rPr>
                <w:sz w:val="20"/>
              </w:rPr>
              <w:t>Sallamuddin</w:t>
            </w:r>
            <w:r>
              <w:rPr>
                <w:sz w:val="20"/>
              </w:rPr>
              <w:t xml:space="preserve"> </w:t>
            </w:r>
          </w:p>
        </w:tc>
        <w:tc>
          <w:tcPr>
            <w:tcW w:w="5462" w:type="dxa"/>
            <w:vAlign w:val="center"/>
          </w:tcPr>
          <w:p w14:paraId="083F9B85" w14:textId="4AB9B45C" w:rsidR="00B05B89" w:rsidRPr="00C14855" w:rsidRDefault="00C14855" w:rsidP="00C14855">
            <w:pPr>
              <w:tabs>
                <w:tab w:val="left" w:pos="993"/>
              </w:tabs>
              <w:rPr>
                <w:sz w:val="20"/>
              </w:rPr>
            </w:pPr>
            <w:r>
              <w:rPr>
                <w:sz w:val="20"/>
              </w:rPr>
              <w:t>First Draft of Terms of Reference</w:t>
            </w:r>
          </w:p>
        </w:tc>
      </w:tr>
      <w:tr w:rsidR="00B05B89" w14:paraId="27947A70" w14:textId="77777777" w:rsidTr="00C14855">
        <w:trPr>
          <w:trHeight w:val="454"/>
        </w:trPr>
        <w:tc>
          <w:tcPr>
            <w:tcW w:w="846" w:type="dxa"/>
            <w:vAlign w:val="center"/>
          </w:tcPr>
          <w:p w14:paraId="600C8748" w14:textId="10DA53AE" w:rsidR="00B05B89" w:rsidRPr="00C14855" w:rsidRDefault="00AC4CBB" w:rsidP="00C14855">
            <w:pPr>
              <w:tabs>
                <w:tab w:val="left" w:pos="993"/>
              </w:tabs>
              <w:rPr>
                <w:sz w:val="20"/>
              </w:rPr>
            </w:pPr>
            <w:r>
              <w:rPr>
                <w:sz w:val="20"/>
              </w:rPr>
              <w:t>0.2</w:t>
            </w:r>
          </w:p>
        </w:tc>
        <w:tc>
          <w:tcPr>
            <w:tcW w:w="1064" w:type="dxa"/>
            <w:vAlign w:val="center"/>
          </w:tcPr>
          <w:p w14:paraId="5BAEC120" w14:textId="0D2DACC8" w:rsidR="00B05B89" w:rsidRPr="00C14855" w:rsidRDefault="00B37862" w:rsidP="00C14855">
            <w:pPr>
              <w:tabs>
                <w:tab w:val="left" w:pos="993"/>
              </w:tabs>
              <w:rPr>
                <w:sz w:val="20"/>
              </w:rPr>
            </w:pPr>
            <w:r>
              <w:rPr>
                <w:sz w:val="20"/>
              </w:rPr>
              <w:t>16</w:t>
            </w:r>
            <w:r w:rsidR="00AC4CBB">
              <w:rPr>
                <w:sz w:val="20"/>
              </w:rPr>
              <w:t>/</w:t>
            </w:r>
            <w:r>
              <w:rPr>
                <w:sz w:val="20"/>
              </w:rPr>
              <w:t>01</w:t>
            </w:r>
            <w:r w:rsidR="00AC4CBB">
              <w:rPr>
                <w:sz w:val="20"/>
              </w:rPr>
              <w:t>/20</w:t>
            </w:r>
            <w:r>
              <w:rPr>
                <w:sz w:val="20"/>
              </w:rPr>
              <w:t>20</w:t>
            </w:r>
          </w:p>
        </w:tc>
        <w:tc>
          <w:tcPr>
            <w:tcW w:w="1644" w:type="dxa"/>
            <w:vAlign w:val="center"/>
          </w:tcPr>
          <w:p w14:paraId="5A33DF03" w14:textId="3832C8C5" w:rsidR="00B05B89" w:rsidRPr="00C14855" w:rsidRDefault="00AC4CBB" w:rsidP="00C14855">
            <w:pPr>
              <w:tabs>
                <w:tab w:val="left" w:pos="993"/>
              </w:tabs>
              <w:rPr>
                <w:sz w:val="20"/>
              </w:rPr>
            </w:pPr>
            <w:r>
              <w:rPr>
                <w:sz w:val="20"/>
              </w:rPr>
              <w:t xml:space="preserve">Data Access Sub-Group Meeting </w:t>
            </w:r>
          </w:p>
        </w:tc>
        <w:tc>
          <w:tcPr>
            <w:tcW w:w="5462" w:type="dxa"/>
            <w:vAlign w:val="center"/>
          </w:tcPr>
          <w:p w14:paraId="4DC55D2E" w14:textId="6E2A66C6" w:rsidR="001033BF" w:rsidRPr="00C14855" w:rsidRDefault="00AC4CBB" w:rsidP="00C14855">
            <w:pPr>
              <w:tabs>
                <w:tab w:val="left" w:pos="993"/>
              </w:tabs>
              <w:rPr>
                <w:sz w:val="20"/>
              </w:rPr>
            </w:pPr>
            <w:r>
              <w:rPr>
                <w:sz w:val="20"/>
              </w:rPr>
              <w:t xml:space="preserve">Review by the members of the Data Access Sub-Group </w:t>
            </w:r>
          </w:p>
        </w:tc>
      </w:tr>
      <w:tr w:rsidR="00B05B89" w14:paraId="7ABC996D" w14:textId="77777777" w:rsidTr="00C14855">
        <w:trPr>
          <w:trHeight w:val="454"/>
        </w:trPr>
        <w:tc>
          <w:tcPr>
            <w:tcW w:w="846" w:type="dxa"/>
            <w:vAlign w:val="center"/>
          </w:tcPr>
          <w:p w14:paraId="0629F488" w14:textId="7B384904" w:rsidR="00B05B89" w:rsidRPr="00C14855" w:rsidRDefault="00B37862" w:rsidP="00C14855">
            <w:pPr>
              <w:tabs>
                <w:tab w:val="left" w:pos="993"/>
              </w:tabs>
              <w:rPr>
                <w:sz w:val="20"/>
              </w:rPr>
            </w:pPr>
            <w:r>
              <w:rPr>
                <w:sz w:val="20"/>
              </w:rPr>
              <w:lastRenderedPageBreak/>
              <w:t>0.3</w:t>
            </w:r>
          </w:p>
        </w:tc>
        <w:tc>
          <w:tcPr>
            <w:tcW w:w="1064" w:type="dxa"/>
            <w:vAlign w:val="center"/>
          </w:tcPr>
          <w:p w14:paraId="1296B0B8" w14:textId="62276BBB" w:rsidR="00B05B89" w:rsidRPr="00C14855" w:rsidRDefault="00B37862" w:rsidP="00C14855">
            <w:pPr>
              <w:tabs>
                <w:tab w:val="left" w:pos="993"/>
              </w:tabs>
              <w:rPr>
                <w:sz w:val="20"/>
              </w:rPr>
            </w:pPr>
            <w:r>
              <w:rPr>
                <w:sz w:val="20"/>
              </w:rPr>
              <w:t>12/02/2019</w:t>
            </w:r>
          </w:p>
        </w:tc>
        <w:tc>
          <w:tcPr>
            <w:tcW w:w="1644" w:type="dxa"/>
            <w:vAlign w:val="center"/>
          </w:tcPr>
          <w:p w14:paraId="3A0635DF" w14:textId="6F4421EF" w:rsidR="00B05B89" w:rsidRPr="00C14855" w:rsidRDefault="00B37862" w:rsidP="00C14855">
            <w:pPr>
              <w:tabs>
                <w:tab w:val="left" w:pos="993"/>
              </w:tabs>
              <w:rPr>
                <w:sz w:val="20"/>
              </w:rPr>
            </w:pPr>
            <w:r>
              <w:rPr>
                <w:sz w:val="20"/>
              </w:rPr>
              <w:t xml:space="preserve">T.Sallamuddin </w:t>
            </w:r>
          </w:p>
        </w:tc>
        <w:tc>
          <w:tcPr>
            <w:tcW w:w="5462" w:type="dxa"/>
            <w:vAlign w:val="center"/>
          </w:tcPr>
          <w:p w14:paraId="5C8879FC" w14:textId="1F3A21F3" w:rsidR="005828CC" w:rsidRPr="00C14855" w:rsidRDefault="00A2752A" w:rsidP="00C14855">
            <w:pPr>
              <w:tabs>
                <w:tab w:val="left" w:pos="993"/>
              </w:tabs>
              <w:rPr>
                <w:sz w:val="20"/>
              </w:rPr>
            </w:pPr>
            <w:r>
              <w:rPr>
                <w:sz w:val="20"/>
              </w:rPr>
              <w:t>Amended following review by the Data Access Sub-Group</w:t>
            </w:r>
            <w:r w:rsidR="006B7D60">
              <w:rPr>
                <w:sz w:val="20"/>
              </w:rPr>
              <w:t>. Added Co-Chairs</w:t>
            </w:r>
            <w:r w:rsidR="00BC7D2A">
              <w:rPr>
                <w:sz w:val="20"/>
              </w:rPr>
              <w:t xml:space="preserve">, some membership post changes. </w:t>
            </w:r>
          </w:p>
        </w:tc>
      </w:tr>
      <w:tr w:rsidR="00B05B89" w14:paraId="3146BFDD" w14:textId="77777777" w:rsidTr="00C14855">
        <w:trPr>
          <w:trHeight w:val="454"/>
        </w:trPr>
        <w:tc>
          <w:tcPr>
            <w:tcW w:w="846" w:type="dxa"/>
            <w:vAlign w:val="center"/>
          </w:tcPr>
          <w:p w14:paraId="3056E57B" w14:textId="1A86EC5F" w:rsidR="00B05B89" w:rsidRPr="00C14855" w:rsidRDefault="00B05B89" w:rsidP="00C14855">
            <w:pPr>
              <w:tabs>
                <w:tab w:val="left" w:pos="993"/>
              </w:tabs>
              <w:rPr>
                <w:sz w:val="20"/>
              </w:rPr>
            </w:pPr>
          </w:p>
        </w:tc>
        <w:tc>
          <w:tcPr>
            <w:tcW w:w="1064" w:type="dxa"/>
            <w:vAlign w:val="center"/>
          </w:tcPr>
          <w:p w14:paraId="10AE7554" w14:textId="7333BF13" w:rsidR="00B05B89" w:rsidRPr="00C14855" w:rsidRDefault="00B05B89" w:rsidP="00C14855">
            <w:pPr>
              <w:tabs>
                <w:tab w:val="left" w:pos="993"/>
              </w:tabs>
              <w:rPr>
                <w:sz w:val="20"/>
              </w:rPr>
            </w:pPr>
          </w:p>
        </w:tc>
        <w:tc>
          <w:tcPr>
            <w:tcW w:w="1644" w:type="dxa"/>
            <w:vAlign w:val="center"/>
          </w:tcPr>
          <w:p w14:paraId="0FD7E299" w14:textId="576FB306" w:rsidR="00B05B89" w:rsidRPr="00C14855" w:rsidRDefault="00B05B89" w:rsidP="00C14855">
            <w:pPr>
              <w:tabs>
                <w:tab w:val="left" w:pos="993"/>
              </w:tabs>
              <w:rPr>
                <w:sz w:val="20"/>
              </w:rPr>
            </w:pPr>
          </w:p>
        </w:tc>
        <w:tc>
          <w:tcPr>
            <w:tcW w:w="5462" w:type="dxa"/>
            <w:vAlign w:val="center"/>
          </w:tcPr>
          <w:p w14:paraId="681CBB35" w14:textId="28E43FC8" w:rsidR="00B05B89" w:rsidRPr="00C14855" w:rsidRDefault="00B05B89" w:rsidP="00C14855">
            <w:pPr>
              <w:tabs>
                <w:tab w:val="left" w:pos="993"/>
              </w:tabs>
              <w:rPr>
                <w:sz w:val="20"/>
              </w:rPr>
            </w:pPr>
          </w:p>
        </w:tc>
      </w:tr>
    </w:tbl>
    <w:p w14:paraId="776C60BF" w14:textId="66F6F64A" w:rsidR="00C14855" w:rsidRDefault="00C14855" w:rsidP="008E6E77">
      <w:pPr>
        <w:tabs>
          <w:tab w:val="left" w:pos="993"/>
        </w:tabs>
        <w:jc w:val="both"/>
      </w:pPr>
    </w:p>
    <w:p w14:paraId="2B53576A" w14:textId="77777777" w:rsidR="0097738B" w:rsidRDefault="0097738B" w:rsidP="008E6E77">
      <w:pPr>
        <w:tabs>
          <w:tab w:val="left" w:pos="993"/>
        </w:tabs>
        <w:jc w:val="both"/>
      </w:pPr>
    </w:p>
    <w:tbl>
      <w:tblPr>
        <w:tblStyle w:val="TableGrid"/>
        <w:tblW w:w="8926" w:type="dxa"/>
        <w:tblLook w:val="04A0" w:firstRow="1" w:lastRow="0" w:firstColumn="1" w:lastColumn="0" w:noHBand="0" w:noVBand="1"/>
      </w:tblPr>
      <w:tblGrid>
        <w:gridCol w:w="2405"/>
        <w:gridCol w:w="6521"/>
      </w:tblGrid>
      <w:tr w:rsidR="004837C6" w14:paraId="3BD98123" w14:textId="77777777" w:rsidTr="0084076A">
        <w:trPr>
          <w:trHeight w:val="557"/>
        </w:trPr>
        <w:tc>
          <w:tcPr>
            <w:tcW w:w="2405" w:type="dxa"/>
            <w:shd w:val="clear" w:color="auto" w:fill="DEEAF6" w:themeFill="accent1" w:themeFillTint="33"/>
            <w:vAlign w:val="center"/>
          </w:tcPr>
          <w:p w14:paraId="2C28FCC6" w14:textId="684348C7" w:rsidR="004837C6" w:rsidRPr="0084076A" w:rsidRDefault="004837C6" w:rsidP="0084076A">
            <w:pPr>
              <w:spacing w:before="60" w:after="60"/>
              <w:rPr>
                <w:b/>
                <w:sz w:val="24"/>
              </w:rPr>
            </w:pPr>
            <w:r w:rsidRPr="0084076A">
              <w:rPr>
                <w:b/>
                <w:sz w:val="24"/>
              </w:rPr>
              <w:t>Title</w:t>
            </w:r>
          </w:p>
        </w:tc>
        <w:tc>
          <w:tcPr>
            <w:tcW w:w="6521" w:type="dxa"/>
            <w:shd w:val="clear" w:color="auto" w:fill="DEEAF6" w:themeFill="accent1" w:themeFillTint="33"/>
            <w:vAlign w:val="center"/>
          </w:tcPr>
          <w:p w14:paraId="3B761391" w14:textId="7787EE4B" w:rsidR="004837C6" w:rsidRPr="0084076A" w:rsidRDefault="00F25395" w:rsidP="0084076A">
            <w:pPr>
              <w:spacing w:before="60" w:after="60"/>
              <w:rPr>
                <w:b/>
                <w:sz w:val="24"/>
              </w:rPr>
            </w:pPr>
            <w:r w:rsidRPr="00F25395">
              <w:rPr>
                <w:b/>
                <w:sz w:val="24"/>
              </w:rPr>
              <w:t>North West London Data Access Sub-Group</w:t>
            </w:r>
            <w:r>
              <w:rPr>
                <w:b/>
              </w:rPr>
              <w:t xml:space="preserve"> </w:t>
            </w:r>
            <w:r w:rsidR="00EE1BAB" w:rsidRPr="0084076A">
              <w:rPr>
                <w:b/>
                <w:sz w:val="24"/>
              </w:rPr>
              <w:t>Terms of Reference</w:t>
            </w:r>
          </w:p>
        </w:tc>
      </w:tr>
      <w:tr w:rsidR="004837C6" w14:paraId="2A7E38CC" w14:textId="77777777" w:rsidTr="00C14855">
        <w:tc>
          <w:tcPr>
            <w:tcW w:w="2405" w:type="dxa"/>
          </w:tcPr>
          <w:p w14:paraId="223BDEED" w14:textId="77777777" w:rsidR="004837C6" w:rsidRDefault="004837C6" w:rsidP="004837C6">
            <w:pPr>
              <w:pStyle w:val="ListParagraph"/>
              <w:numPr>
                <w:ilvl w:val="0"/>
                <w:numId w:val="1"/>
              </w:numPr>
              <w:spacing w:before="60" w:after="60"/>
            </w:pPr>
            <w:r>
              <w:t>Date Approved and Governing Body</w:t>
            </w:r>
          </w:p>
        </w:tc>
        <w:tc>
          <w:tcPr>
            <w:tcW w:w="6521" w:type="dxa"/>
          </w:tcPr>
          <w:p w14:paraId="2636BA2E" w14:textId="0A7D932E" w:rsidR="00ED2521" w:rsidRDefault="00ED2521" w:rsidP="00B463B9">
            <w:pPr>
              <w:autoSpaceDE w:val="0"/>
              <w:autoSpaceDN w:val="0"/>
              <w:adjustRightInd w:val="0"/>
              <w:spacing w:before="60" w:after="60"/>
              <w:jc w:val="both"/>
              <w:rPr>
                <w:rFonts w:ascii="Calibri" w:hAnsi="Calibri" w:cs="Calibri"/>
                <w:color w:val="000000"/>
              </w:rPr>
            </w:pPr>
            <w:r w:rsidRPr="0084076A">
              <w:t>The</w:t>
            </w:r>
            <w:r>
              <w:rPr>
                <w:b/>
                <w:color w:val="0070C0"/>
              </w:rPr>
              <w:t xml:space="preserve"> </w:t>
            </w:r>
            <w:r w:rsidR="00A5048E" w:rsidRPr="00D141B6">
              <w:rPr>
                <w:b/>
              </w:rPr>
              <w:t>N</w:t>
            </w:r>
            <w:r w:rsidR="00D141B6" w:rsidRPr="00D141B6">
              <w:rPr>
                <w:b/>
              </w:rPr>
              <w:t xml:space="preserve">W </w:t>
            </w:r>
            <w:r w:rsidR="00A5048E" w:rsidRPr="00D141B6">
              <w:rPr>
                <w:b/>
              </w:rPr>
              <w:t>London</w:t>
            </w:r>
            <w:r w:rsidR="00D141B6" w:rsidRPr="00D141B6">
              <w:rPr>
                <w:b/>
              </w:rPr>
              <w:t xml:space="preserve"> Digital Information Governance Board </w:t>
            </w:r>
            <w:r w:rsidRPr="002C6836">
              <w:rPr>
                <w:rFonts w:ascii="Calibri" w:hAnsi="Calibri" w:cs="Calibri"/>
                <w:color w:val="000000"/>
              </w:rPr>
              <w:t xml:space="preserve">shall </w:t>
            </w:r>
            <w:r>
              <w:rPr>
                <w:rFonts w:ascii="Calibri" w:hAnsi="Calibri" w:cs="Calibri"/>
                <w:color w:val="000000"/>
              </w:rPr>
              <w:t xml:space="preserve">approve </w:t>
            </w:r>
            <w:r w:rsidR="0084076A">
              <w:rPr>
                <w:rFonts w:ascii="Calibri" w:hAnsi="Calibri" w:cs="Calibri"/>
                <w:color w:val="000000"/>
              </w:rPr>
              <w:t>these</w:t>
            </w:r>
            <w:r>
              <w:rPr>
                <w:rFonts w:ascii="Calibri" w:hAnsi="Calibri" w:cs="Calibri"/>
                <w:color w:val="000000"/>
              </w:rPr>
              <w:t xml:space="preserve"> Terms of References (</w:t>
            </w:r>
            <w:r w:rsidRPr="002C6836">
              <w:rPr>
                <w:rFonts w:ascii="Calibri" w:hAnsi="Calibri" w:cs="Calibri"/>
                <w:color w:val="000000"/>
              </w:rPr>
              <w:t xml:space="preserve">ToR). </w:t>
            </w:r>
          </w:p>
          <w:p w14:paraId="17F6DEC9" w14:textId="2202C7BD" w:rsidR="00ED2521" w:rsidRPr="002C6836" w:rsidRDefault="00ED2521" w:rsidP="00B463B9">
            <w:pPr>
              <w:autoSpaceDE w:val="0"/>
              <w:autoSpaceDN w:val="0"/>
              <w:adjustRightInd w:val="0"/>
              <w:spacing w:before="60" w:after="60"/>
              <w:jc w:val="both"/>
              <w:rPr>
                <w:rFonts w:ascii="Calibri" w:hAnsi="Calibri" w:cs="Calibri"/>
                <w:color w:val="000000"/>
              </w:rPr>
            </w:pPr>
          </w:p>
          <w:p w14:paraId="46C9102C" w14:textId="6E15A26F" w:rsidR="004837C6" w:rsidRDefault="00ED2521" w:rsidP="00B463B9">
            <w:pPr>
              <w:spacing w:before="60" w:after="60"/>
              <w:jc w:val="both"/>
            </w:pPr>
            <w:r w:rsidRPr="0084076A">
              <w:t>The</w:t>
            </w:r>
            <w:r>
              <w:rPr>
                <w:b/>
                <w:color w:val="0070C0"/>
              </w:rPr>
              <w:t xml:space="preserve"> </w:t>
            </w:r>
            <w:r w:rsidR="00D141B6" w:rsidRPr="00D141B6">
              <w:rPr>
                <w:b/>
              </w:rPr>
              <w:t>North West London Data Access Sub-Group</w:t>
            </w:r>
            <w:r w:rsidR="00E7482A">
              <w:rPr>
                <w:b/>
              </w:rPr>
              <w:t xml:space="preserve"> </w:t>
            </w:r>
            <w:r w:rsidR="00E7482A">
              <w:rPr>
                <w:bCs/>
              </w:rPr>
              <w:t>(the “</w:t>
            </w:r>
            <w:r w:rsidR="00E7482A" w:rsidRPr="00163B68">
              <w:rPr>
                <w:b/>
              </w:rPr>
              <w:t>Data Access Group</w:t>
            </w:r>
            <w:r w:rsidR="00E7482A">
              <w:rPr>
                <w:bCs/>
              </w:rPr>
              <w:t>”)</w:t>
            </w:r>
            <w:r w:rsidRPr="00D141B6">
              <w:rPr>
                <w:b/>
              </w:rPr>
              <w:t xml:space="preserve"> </w:t>
            </w:r>
            <w:r>
              <w:t xml:space="preserve">formally adopted these TORs </w:t>
            </w:r>
            <w:r w:rsidRPr="0084076A">
              <w:t xml:space="preserve">on </w:t>
            </w:r>
            <w:r w:rsidR="00CF382F">
              <w:t>16</w:t>
            </w:r>
            <w:r w:rsidR="00CF382F" w:rsidRPr="00CF382F">
              <w:rPr>
                <w:vertAlign w:val="superscript"/>
              </w:rPr>
              <w:t>th</w:t>
            </w:r>
            <w:r w:rsidR="00CF382F">
              <w:t xml:space="preserve"> April 2020</w:t>
            </w:r>
          </w:p>
        </w:tc>
      </w:tr>
      <w:tr w:rsidR="004837C6" w14:paraId="7D69340E" w14:textId="77777777" w:rsidTr="00C14855">
        <w:tc>
          <w:tcPr>
            <w:tcW w:w="2405" w:type="dxa"/>
          </w:tcPr>
          <w:p w14:paraId="4755ACF2" w14:textId="23A07F6F" w:rsidR="004837C6" w:rsidRDefault="000E46E5" w:rsidP="004837C6">
            <w:pPr>
              <w:pStyle w:val="ListParagraph"/>
              <w:numPr>
                <w:ilvl w:val="0"/>
                <w:numId w:val="1"/>
              </w:numPr>
              <w:spacing w:before="60" w:after="60"/>
            </w:pPr>
            <w:r>
              <w:t xml:space="preserve">Background and </w:t>
            </w:r>
            <w:r w:rsidR="004837C6">
              <w:t>Purpose</w:t>
            </w:r>
          </w:p>
        </w:tc>
        <w:tc>
          <w:tcPr>
            <w:tcW w:w="6521" w:type="dxa"/>
          </w:tcPr>
          <w:p w14:paraId="4546E212" w14:textId="02F3D6DF" w:rsidR="0084076A" w:rsidRDefault="00163B68" w:rsidP="00163B68">
            <w:pPr>
              <w:spacing w:before="60" w:after="60"/>
              <w:jc w:val="both"/>
            </w:pPr>
            <w:r>
              <w:t>The Data Access Group acts as a sub-group to the NW London Digital Information Governance Board and has thus far been delegated responsibility to</w:t>
            </w:r>
            <w:r w:rsidR="0004379C">
              <w:t xml:space="preserve"> oversee data flows, cyber</w:t>
            </w:r>
            <w:r w:rsidR="00A76509">
              <w:t xml:space="preserve"> </w:t>
            </w:r>
            <w:r w:rsidR="0004379C">
              <w:t>security and access to data requests</w:t>
            </w:r>
            <w:r w:rsidR="00DD64A8">
              <w:t xml:space="preserve"> (</w:t>
            </w:r>
            <w:r w:rsidR="0004379C">
              <w:t>both service evaluation and research studies/projects</w:t>
            </w:r>
            <w:r w:rsidR="00DD64A8">
              <w:t>)</w:t>
            </w:r>
            <w:r w:rsidR="0004379C">
              <w:t xml:space="preserve">. In relation to, data requests, the </w:t>
            </w:r>
            <w:r w:rsidR="0004379C" w:rsidRPr="00DD64A8">
              <w:rPr>
                <w:b/>
                <w:bCs/>
              </w:rPr>
              <w:t>Data Access Group</w:t>
            </w:r>
            <w:r w:rsidR="0004379C">
              <w:t xml:space="preserve"> </w:t>
            </w:r>
            <w:r w:rsidR="00DD64A8">
              <w:t>used to historically</w:t>
            </w:r>
            <w:r w:rsidR="0004379C">
              <w:t xml:space="preserve"> review them separately, however, since the process does not </w:t>
            </w:r>
            <w:r w:rsidR="00DD64A8">
              <w:t xml:space="preserve">greatly </w:t>
            </w:r>
            <w:r w:rsidR="0004379C">
              <w:t xml:space="preserve">differ, if at all, the </w:t>
            </w:r>
            <w:r w:rsidR="0004379C" w:rsidRPr="00DD64A8">
              <w:rPr>
                <w:b/>
                <w:bCs/>
              </w:rPr>
              <w:t>Data Access Group</w:t>
            </w:r>
            <w:r w:rsidR="0004379C">
              <w:t xml:space="preserve"> will now review both th</w:t>
            </w:r>
            <w:r w:rsidR="00DD64A8">
              <w:t>ese</w:t>
            </w:r>
            <w:r w:rsidR="0004379C">
              <w:t xml:space="preserve"> type</w:t>
            </w:r>
            <w:r w:rsidR="00DD64A8">
              <w:t>s of</w:t>
            </w:r>
            <w:r w:rsidR="0004379C">
              <w:t xml:space="preserve"> </w:t>
            </w:r>
            <w:r w:rsidR="00DD64A8">
              <w:t>requests</w:t>
            </w:r>
            <w:r w:rsidR="0004379C">
              <w:t xml:space="preserve"> together. </w:t>
            </w:r>
            <w:r>
              <w:t xml:space="preserve"> </w:t>
            </w:r>
          </w:p>
          <w:p w14:paraId="153032BE" w14:textId="77777777" w:rsidR="0084076A" w:rsidRDefault="0084076A" w:rsidP="004837C6">
            <w:pPr>
              <w:spacing w:before="60" w:after="60"/>
            </w:pPr>
          </w:p>
          <w:p w14:paraId="7734D40E" w14:textId="64CC53F5" w:rsidR="006B29D7" w:rsidRDefault="0084076A" w:rsidP="00B463B9">
            <w:pPr>
              <w:spacing w:before="60" w:after="60"/>
              <w:jc w:val="both"/>
            </w:pPr>
            <w:r>
              <w:t xml:space="preserve">The purpose of the </w:t>
            </w:r>
            <w:r w:rsidR="00ED6358" w:rsidRPr="00ED6358">
              <w:rPr>
                <w:b/>
                <w:bCs/>
              </w:rPr>
              <w:t>Data Access Group</w:t>
            </w:r>
            <w:r w:rsidR="00ED6358">
              <w:t xml:space="preserve"> </w:t>
            </w:r>
            <w:r>
              <w:t>is as follows:</w:t>
            </w:r>
          </w:p>
          <w:p w14:paraId="02C9A645" w14:textId="77777777" w:rsidR="006B29D7" w:rsidRDefault="006B29D7" w:rsidP="006B29D7">
            <w:pPr>
              <w:pStyle w:val="ListParagraph"/>
              <w:numPr>
                <w:ilvl w:val="0"/>
                <w:numId w:val="15"/>
              </w:numPr>
              <w:spacing w:before="60" w:after="60"/>
              <w:jc w:val="both"/>
            </w:pPr>
            <w:r w:rsidRPr="00CF18F6">
              <w:t xml:space="preserve">support the </w:t>
            </w:r>
            <w:r w:rsidRPr="006B29D7">
              <w:rPr>
                <w:b/>
                <w:bCs/>
              </w:rPr>
              <w:t>NW London Digital Information Governance Board</w:t>
            </w:r>
            <w:r>
              <w:t xml:space="preserve"> </w:t>
            </w:r>
            <w:r w:rsidRPr="00CF18F6">
              <w:t xml:space="preserve"> by making recommendations and providing guidance to assist the development of safe and secure data flows and access to the systems </w:t>
            </w:r>
            <w:r>
              <w:t>used across the sector</w:t>
            </w:r>
            <w:r w:rsidRPr="00CF18F6">
              <w:t xml:space="preserve"> for the benefit of joined up integrated care in North West London</w:t>
            </w:r>
            <w:r>
              <w:t>;</w:t>
            </w:r>
          </w:p>
          <w:p w14:paraId="2DA4569A" w14:textId="35C93381" w:rsidR="006B29D7" w:rsidRDefault="006B29D7" w:rsidP="006B29D7">
            <w:pPr>
              <w:pStyle w:val="ListParagraph"/>
              <w:spacing w:before="60" w:after="60"/>
              <w:jc w:val="both"/>
            </w:pPr>
            <w:r w:rsidRPr="00CF18F6">
              <w:t xml:space="preserve"> </w:t>
            </w:r>
          </w:p>
          <w:p w14:paraId="3A03053D" w14:textId="77777777" w:rsidR="00DC379E" w:rsidRDefault="006B29D7" w:rsidP="00DC379E">
            <w:pPr>
              <w:pStyle w:val="ListParagraph"/>
              <w:numPr>
                <w:ilvl w:val="0"/>
                <w:numId w:val="15"/>
              </w:numPr>
              <w:spacing w:before="60" w:after="60"/>
              <w:jc w:val="both"/>
            </w:pPr>
            <w:r>
              <w:t>Adhere to and encourage a culture of</w:t>
            </w:r>
            <w:r w:rsidRPr="00CF18F6">
              <w:t xml:space="preserve"> </w:t>
            </w:r>
            <w:r w:rsidR="00C5645D">
              <w:t xml:space="preserve">safe and </w:t>
            </w:r>
            <w:r w:rsidRPr="00CF18F6">
              <w:t xml:space="preserve">appropriate </w:t>
            </w:r>
            <w:r>
              <w:t>data access</w:t>
            </w:r>
            <w:r w:rsidR="00C5645D">
              <w:t xml:space="preserve"> whilst </w:t>
            </w:r>
            <w:r w:rsidRPr="00CF18F6">
              <w:t>work</w:t>
            </w:r>
            <w:r w:rsidR="00C5645D">
              <w:t>ing</w:t>
            </w:r>
            <w:r w:rsidRPr="00CF18F6">
              <w:t xml:space="preserve"> within the guidelines set out </w:t>
            </w:r>
            <w:r>
              <w:t>in the NW London Statement of Data Sharing</w:t>
            </w:r>
            <w:r w:rsidR="00C5645D">
              <w:t xml:space="preserve">. Always </w:t>
            </w:r>
            <w:r w:rsidRPr="00CF18F6">
              <w:t>consider the responsibility</w:t>
            </w:r>
            <w:r w:rsidR="00C5645D">
              <w:t>, functionality</w:t>
            </w:r>
            <w:r w:rsidRPr="00CF18F6">
              <w:t xml:space="preserve"> of all </w:t>
            </w:r>
            <w:r>
              <w:t>data controllers</w:t>
            </w:r>
            <w:r w:rsidRPr="00CF18F6">
              <w:t xml:space="preserve"> and their respective systems </w:t>
            </w:r>
            <w:r w:rsidR="00C5645D">
              <w:t xml:space="preserve">in order </w:t>
            </w:r>
            <w:r w:rsidRPr="00CF18F6">
              <w:t xml:space="preserve">to </w:t>
            </w:r>
            <w:r>
              <w:t>deliver</w:t>
            </w:r>
            <w:r w:rsidR="00C5645D">
              <w:t xml:space="preserve"> an</w:t>
            </w:r>
            <w:r w:rsidRPr="00CF18F6">
              <w:t xml:space="preserve"> Information Governance</w:t>
            </w:r>
            <w:r w:rsidR="00C5645D">
              <w:t xml:space="preserve"> framework which is reflective of current industry best practices;</w:t>
            </w:r>
          </w:p>
          <w:p w14:paraId="20ECD00D" w14:textId="77777777" w:rsidR="00DC379E" w:rsidRDefault="00DC379E" w:rsidP="00DC379E">
            <w:pPr>
              <w:pStyle w:val="ListParagraph"/>
            </w:pPr>
          </w:p>
          <w:p w14:paraId="762640FF" w14:textId="49498CC3" w:rsidR="00F36B38" w:rsidRDefault="00DC379E" w:rsidP="00DC379E">
            <w:pPr>
              <w:pStyle w:val="ListParagraph"/>
              <w:numPr>
                <w:ilvl w:val="0"/>
                <w:numId w:val="15"/>
              </w:numPr>
              <w:spacing w:before="60" w:after="60"/>
              <w:jc w:val="both"/>
            </w:pPr>
            <w:r w:rsidRPr="00A65AC8">
              <w:t xml:space="preserve">The subgroup </w:t>
            </w:r>
            <w:r>
              <w:t>will review applications from data controllers to conduct clinical audit and service evaluation</w:t>
            </w:r>
            <w:r w:rsidR="00EC6151">
              <w:t>s</w:t>
            </w:r>
            <w:r>
              <w:t xml:space="preserve"> </w:t>
            </w:r>
            <w:r w:rsidR="00EC6151">
              <w:t xml:space="preserve">using </w:t>
            </w:r>
            <w:r>
              <w:t>the de-identified dataset within W</w:t>
            </w:r>
            <w:r w:rsidR="00394F20">
              <w:t xml:space="preserve">hole </w:t>
            </w:r>
            <w:r>
              <w:t>S</w:t>
            </w:r>
            <w:r w:rsidR="00394F20">
              <w:t xml:space="preserve">ystems </w:t>
            </w:r>
            <w:r>
              <w:t>I</w:t>
            </w:r>
            <w:r w:rsidR="00394F20">
              <w:t>ntegrated Care (WSIC) record</w:t>
            </w:r>
            <w:r w:rsidR="00F36B38">
              <w:t>;</w:t>
            </w:r>
          </w:p>
          <w:p w14:paraId="34985CC4" w14:textId="77777777" w:rsidR="00F36B38" w:rsidRDefault="00F36B38" w:rsidP="00F36B38">
            <w:pPr>
              <w:pStyle w:val="ListParagraph"/>
            </w:pPr>
          </w:p>
          <w:p w14:paraId="3EDC83B1" w14:textId="77777777" w:rsidR="00F217AE" w:rsidRDefault="00DC379E" w:rsidP="00F217AE">
            <w:pPr>
              <w:pStyle w:val="ListParagraph"/>
              <w:numPr>
                <w:ilvl w:val="0"/>
                <w:numId w:val="15"/>
              </w:numPr>
              <w:spacing w:before="60" w:after="60"/>
              <w:jc w:val="both"/>
            </w:pPr>
            <w:r>
              <w:t>The</w:t>
            </w:r>
            <w:r w:rsidR="00F36B38">
              <w:t xml:space="preserve"> Data Access Group must will</w:t>
            </w:r>
            <w:r>
              <w:t xml:space="preserve"> </w:t>
            </w:r>
            <w:r w:rsidR="00F36B38">
              <w:t xml:space="preserve">ensure </w:t>
            </w:r>
            <w:r>
              <w:t>requests</w:t>
            </w:r>
            <w:r w:rsidR="00F36B38">
              <w:t xml:space="preserve">, for clinical audit and service evaluation, are </w:t>
            </w:r>
            <w:r>
              <w:t xml:space="preserve">supported by a service lead, clinical director, divisional director, practice lead, PCN lead or CCG lead who </w:t>
            </w:r>
            <w:r w:rsidR="00F217AE">
              <w:t>has the authority to support such an application, at</w:t>
            </w:r>
            <w:r>
              <w:t xml:space="preserve"> one of the</w:t>
            </w:r>
            <w:r w:rsidR="00F217AE">
              <w:t xml:space="preserve"> </w:t>
            </w:r>
            <w:r>
              <w:t>organisations</w:t>
            </w:r>
            <w:r w:rsidR="00F217AE">
              <w:t xml:space="preserve"> who is a data controller within WSIC;</w:t>
            </w:r>
            <w:r>
              <w:t xml:space="preserve"> </w:t>
            </w:r>
          </w:p>
          <w:p w14:paraId="2CB4E90E" w14:textId="77777777" w:rsidR="00F217AE" w:rsidRDefault="00F217AE" w:rsidP="00F217AE">
            <w:pPr>
              <w:pStyle w:val="ListParagraph"/>
            </w:pPr>
          </w:p>
          <w:p w14:paraId="416A7C51" w14:textId="77777777" w:rsidR="00337328" w:rsidRDefault="00DC379E" w:rsidP="00337328">
            <w:pPr>
              <w:pStyle w:val="ListParagraph"/>
              <w:numPr>
                <w:ilvl w:val="0"/>
                <w:numId w:val="15"/>
              </w:numPr>
              <w:spacing w:before="60" w:after="60"/>
              <w:jc w:val="both"/>
            </w:pPr>
            <w:r>
              <w:t xml:space="preserve">The </w:t>
            </w:r>
            <w:r w:rsidR="00A31EB7">
              <w:t xml:space="preserve">Data Access Group should only approve </w:t>
            </w:r>
            <w:r>
              <w:t>requests</w:t>
            </w:r>
            <w:r w:rsidR="00A31EB7">
              <w:t xml:space="preserve">, for clinical audit and service evaluation, if it </w:t>
            </w:r>
            <w:r>
              <w:t>support</w:t>
            </w:r>
            <w:r w:rsidR="00A31EB7">
              <w:t>s</w:t>
            </w:r>
            <w:r>
              <w:t xml:space="preserve"> the delivery of improved direct care through quality or service improvement. Th</w:t>
            </w:r>
            <w:r w:rsidR="00A31EB7">
              <w:t>is can include</w:t>
            </w:r>
            <w:r>
              <w:t xml:space="preserve"> </w:t>
            </w:r>
            <w:r w:rsidR="00A31EB7">
              <w:t xml:space="preserve">the </w:t>
            </w:r>
            <w:r>
              <w:t xml:space="preserve">improvement of both patient and staff </w:t>
            </w:r>
            <w:r w:rsidR="00A31EB7">
              <w:t>outlook</w:t>
            </w:r>
            <w:r w:rsidR="00A018B7">
              <w:t>/experience;</w:t>
            </w:r>
          </w:p>
          <w:p w14:paraId="2D300B70" w14:textId="77777777" w:rsidR="00337328" w:rsidRDefault="00337328" w:rsidP="00337328">
            <w:pPr>
              <w:pStyle w:val="ListParagraph"/>
            </w:pPr>
          </w:p>
          <w:p w14:paraId="41152729" w14:textId="77777777" w:rsidR="00337328" w:rsidRDefault="00337328" w:rsidP="00337328">
            <w:pPr>
              <w:pStyle w:val="ListParagraph"/>
              <w:numPr>
                <w:ilvl w:val="0"/>
                <w:numId w:val="15"/>
              </w:numPr>
              <w:spacing w:before="60" w:after="60"/>
              <w:jc w:val="both"/>
            </w:pPr>
            <w:r>
              <w:t>O</w:t>
            </w:r>
            <w:r w:rsidRPr="000D710A">
              <w:t xml:space="preserve">versee and manage research requests to use </w:t>
            </w:r>
            <w:r>
              <w:t>WSIC and Discover NOW</w:t>
            </w:r>
            <w:r w:rsidRPr="000D710A">
              <w:t xml:space="preserve">. This will involve reviewing project applications to grant or deny access to the WSIC </w:t>
            </w:r>
            <w:r>
              <w:t xml:space="preserve">de-identified </w:t>
            </w:r>
            <w:r w:rsidRPr="000D710A">
              <w:t>dataset</w:t>
            </w:r>
            <w:r>
              <w:t xml:space="preserve"> for research purposes; </w:t>
            </w:r>
          </w:p>
          <w:p w14:paraId="638C1773" w14:textId="77777777" w:rsidR="00337328" w:rsidRDefault="00337328" w:rsidP="00337328">
            <w:pPr>
              <w:pStyle w:val="ListParagraph"/>
            </w:pPr>
          </w:p>
          <w:p w14:paraId="20F04A80" w14:textId="6FDE0FBC" w:rsidR="00C33DEA" w:rsidRDefault="00C33DEA" w:rsidP="00C33DEA">
            <w:pPr>
              <w:pStyle w:val="ListParagraph"/>
              <w:numPr>
                <w:ilvl w:val="0"/>
                <w:numId w:val="15"/>
              </w:numPr>
              <w:spacing w:before="60" w:after="60"/>
              <w:jc w:val="both"/>
            </w:pPr>
            <w:r>
              <w:t>To grants r</w:t>
            </w:r>
            <w:r w:rsidR="00337328">
              <w:t>equests to use the Discover consent to contact register</w:t>
            </w:r>
            <w:r>
              <w:t xml:space="preserve"> where appropriate</w:t>
            </w:r>
            <w:r w:rsidR="00337328">
              <w:t>;</w:t>
            </w:r>
          </w:p>
          <w:p w14:paraId="3D66CAA5" w14:textId="77777777" w:rsidR="00C33DEA" w:rsidRPr="00C33DEA" w:rsidRDefault="00C33DEA" w:rsidP="00C33DEA">
            <w:pPr>
              <w:pStyle w:val="ListParagraph"/>
              <w:rPr>
                <w:rFonts w:ascii="Calibri" w:hAnsi="Calibri"/>
                <w:lang w:val="en-US"/>
              </w:rPr>
            </w:pPr>
          </w:p>
          <w:p w14:paraId="4BC22181" w14:textId="39D26B0C" w:rsidR="006A0151" w:rsidRPr="006A0151" w:rsidRDefault="00C33DEA" w:rsidP="006A1DC2">
            <w:pPr>
              <w:pStyle w:val="ListParagraph"/>
              <w:numPr>
                <w:ilvl w:val="0"/>
                <w:numId w:val="15"/>
              </w:numPr>
              <w:spacing w:before="60" w:after="60"/>
              <w:jc w:val="both"/>
            </w:pPr>
            <w:r>
              <w:rPr>
                <w:rFonts w:ascii="Calibri" w:hAnsi="Calibri"/>
                <w:lang w:val="en-US"/>
              </w:rPr>
              <w:t xml:space="preserve">To </w:t>
            </w:r>
            <w:r w:rsidRPr="00C33DEA">
              <w:rPr>
                <w:rFonts w:ascii="Calibri" w:hAnsi="Calibri"/>
                <w:lang w:val="en-US"/>
              </w:rPr>
              <w:t>assess the value</w:t>
            </w:r>
            <w:r>
              <w:rPr>
                <w:rFonts w:ascii="Calibri" w:hAnsi="Calibri"/>
                <w:lang w:val="en-US"/>
              </w:rPr>
              <w:t xml:space="preserve"> of the available datasets and its </w:t>
            </w:r>
            <w:r w:rsidRPr="00C33DEA">
              <w:rPr>
                <w:rFonts w:ascii="Calibri" w:hAnsi="Calibri"/>
                <w:lang w:val="en-US"/>
              </w:rPr>
              <w:t xml:space="preserve">suitability </w:t>
            </w:r>
            <w:r>
              <w:rPr>
                <w:rFonts w:ascii="Calibri" w:hAnsi="Calibri"/>
                <w:lang w:val="en-US"/>
              </w:rPr>
              <w:t>to what the intended research application is trying to achieve. The Data Access Group’s considerations should always a</w:t>
            </w:r>
            <w:r w:rsidRPr="00C33DEA">
              <w:rPr>
                <w:rFonts w:ascii="Calibri" w:hAnsi="Calibri"/>
                <w:lang w:val="en-US"/>
              </w:rPr>
              <w:t>li</w:t>
            </w:r>
            <w:r>
              <w:rPr>
                <w:rFonts w:ascii="Calibri" w:hAnsi="Calibri"/>
                <w:lang w:val="en-US"/>
              </w:rPr>
              <w:t>gn</w:t>
            </w:r>
            <w:r w:rsidRPr="00C33DEA">
              <w:rPr>
                <w:rFonts w:ascii="Calibri" w:hAnsi="Calibri"/>
                <w:lang w:val="en-US"/>
              </w:rPr>
              <w:t xml:space="preserve"> with the research purposes set out under GDPR</w:t>
            </w:r>
            <w:r>
              <w:rPr>
                <w:rFonts w:ascii="Calibri" w:hAnsi="Calibri"/>
                <w:lang w:val="en-US"/>
              </w:rPr>
              <w:t xml:space="preserve"> and </w:t>
            </w:r>
            <w:r w:rsidRPr="006A1DC2">
              <w:rPr>
                <w:rFonts w:ascii="Calibri" w:hAnsi="Calibri"/>
                <w:lang w:val="en-US"/>
              </w:rPr>
              <w:t xml:space="preserve">take into account for the strategic direction set by the Discover NOW Hub Board and the views and interests of the project stakeholders; </w:t>
            </w:r>
          </w:p>
          <w:p w14:paraId="718C221C" w14:textId="77777777" w:rsidR="006A0151" w:rsidRPr="006A0151" w:rsidRDefault="006A0151" w:rsidP="006A0151">
            <w:pPr>
              <w:pStyle w:val="ListParagraph"/>
              <w:rPr>
                <w:rFonts w:ascii="Calibri" w:hAnsi="Calibri"/>
                <w:lang w:val="en-US"/>
              </w:rPr>
            </w:pPr>
          </w:p>
          <w:p w14:paraId="24BFB364" w14:textId="491F2811" w:rsidR="00C33DEA" w:rsidRPr="00A65AC8" w:rsidRDefault="006A0151" w:rsidP="006A0151">
            <w:pPr>
              <w:pStyle w:val="ListParagraph"/>
              <w:numPr>
                <w:ilvl w:val="0"/>
                <w:numId w:val="15"/>
              </w:numPr>
              <w:spacing w:before="60" w:after="60"/>
              <w:jc w:val="both"/>
            </w:pPr>
            <w:r>
              <w:rPr>
                <w:rFonts w:ascii="Calibri" w:hAnsi="Calibri"/>
                <w:lang w:val="en-US"/>
              </w:rPr>
              <w:t xml:space="preserve">In relation to research applications, the Data Access Group, may take </w:t>
            </w:r>
            <w:r w:rsidRPr="006A0151">
              <w:rPr>
                <w:rFonts w:ascii="Calibri" w:hAnsi="Calibri"/>
                <w:lang w:val="en-US"/>
              </w:rPr>
              <w:t xml:space="preserve">assurances that </w:t>
            </w:r>
            <w:r>
              <w:rPr>
                <w:rFonts w:ascii="Calibri" w:hAnsi="Calibri"/>
                <w:lang w:val="en-US"/>
              </w:rPr>
              <w:t>the application</w:t>
            </w:r>
            <w:r w:rsidRPr="006A0151">
              <w:rPr>
                <w:rFonts w:ascii="Calibri" w:hAnsi="Calibri"/>
                <w:lang w:val="en-US"/>
              </w:rPr>
              <w:t xml:space="preserve"> ha</w:t>
            </w:r>
            <w:r>
              <w:rPr>
                <w:rFonts w:ascii="Calibri" w:hAnsi="Calibri"/>
                <w:lang w:val="en-US"/>
              </w:rPr>
              <w:t>s been approved by</w:t>
            </w:r>
            <w:r w:rsidRPr="006A0151">
              <w:rPr>
                <w:rFonts w:ascii="Calibri" w:hAnsi="Calibri"/>
                <w:lang w:val="en-US"/>
              </w:rPr>
              <w:t xml:space="preserve"> other parties involved in the research process. For example, as far as possible, the subgroup should rely on REC approval (for ethics)</w:t>
            </w:r>
            <w:r>
              <w:rPr>
                <w:rFonts w:ascii="Calibri" w:hAnsi="Calibri"/>
                <w:lang w:val="en-US"/>
              </w:rPr>
              <w:t xml:space="preserve"> if applicable</w:t>
            </w:r>
            <w:r w:rsidRPr="006A0151">
              <w:rPr>
                <w:rFonts w:ascii="Calibri" w:hAnsi="Calibri"/>
                <w:lang w:val="en-US"/>
              </w:rPr>
              <w:t xml:space="preserve">, </w:t>
            </w:r>
            <w:r>
              <w:rPr>
                <w:rFonts w:ascii="Calibri" w:hAnsi="Calibri"/>
                <w:lang w:val="en-US"/>
              </w:rPr>
              <w:t>any s</w:t>
            </w:r>
            <w:r w:rsidRPr="006A0151">
              <w:rPr>
                <w:rFonts w:ascii="Calibri" w:hAnsi="Calibri"/>
                <w:lang w:val="en-US"/>
              </w:rPr>
              <w:t xml:space="preserve">ponsor's and/or </w:t>
            </w:r>
            <w:r>
              <w:rPr>
                <w:rFonts w:ascii="Calibri" w:hAnsi="Calibri"/>
                <w:lang w:val="en-US"/>
              </w:rPr>
              <w:t>f</w:t>
            </w:r>
            <w:r w:rsidRPr="006A0151">
              <w:rPr>
                <w:rFonts w:ascii="Calibri" w:hAnsi="Calibri"/>
                <w:lang w:val="en-US"/>
              </w:rPr>
              <w:t xml:space="preserve">under's confirmation (that peer review is in place and therefore the study is scientifically sound), and CRN portfolio inclusion (therefore the study reflecting the needs of the NHS, health and social care). </w:t>
            </w:r>
          </w:p>
          <w:p w14:paraId="0C24DE1A" w14:textId="409E4943" w:rsidR="0084076A" w:rsidRDefault="0084076A" w:rsidP="006A0151">
            <w:pPr>
              <w:spacing w:before="60" w:after="60"/>
            </w:pPr>
          </w:p>
        </w:tc>
      </w:tr>
      <w:tr w:rsidR="004837C6" w14:paraId="1E132D2B" w14:textId="77777777" w:rsidTr="00C14855">
        <w:tc>
          <w:tcPr>
            <w:tcW w:w="2405" w:type="dxa"/>
          </w:tcPr>
          <w:p w14:paraId="47FEE829" w14:textId="71B0467F" w:rsidR="004837C6" w:rsidRDefault="004837C6" w:rsidP="004837C6">
            <w:pPr>
              <w:pStyle w:val="ListParagraph"/>
              <w:numPr>
                <w:ilvl w:val="0"/>
                <w:numId w:val="1"/>
              </w:numPr>
              <w:spacing w:before="60" w:after="60"/>
            </w:pPr>
            <w:r>
              <w:lastRenderedPageBreak/>
              <w:t>Membership</w:t>
            </w:r>
            <w:r w:rsidR="00E17611">
              <w:t xml:space="preserve"> (Voting)</w:t>
            </w:r>
          </w:p>
        </w:tc>
        <w:tc>
          <w:tcPr>
            <w:tcW w:w="6521" w:type="dxa"/>
          </w:tcPr>
          <w:p w14:paraId="1340898E" w14:textId="2C0E2748" w:rsidR="00F52C10" w:rsidRDefault="00F52C10" w:rsidP="00E30802">
            <w:pPr>
              <w:pStyle w:val="Heading3"/>
              <w:numPr>
                <w:ilvl w:val="0"/>
                <w:numId w:val="0"/>
              </w:numPr>
              <w:ind w:left="32" w:hanging="32"/>
              <w:jc w:val="both"/>
              <w:outlineLvl w:val="2"/>
              <w:rPr>
                <w:rFonts w:asciiTheme="minorHAnsi" w:hAnsiTheme="minorHAnsi" w:cstheme="minorHAnsi"/>
                <w:color w:val="auto"/>
                <w:sz w:val="22"/>
                <w:szCs w:val="22"/>
              </w:rPr>
            </w:pPr>
            <w:r>
              <w:rPr>
                <w:rFonts w:asciiTheme="minorHAnsi" w:hAnsiTheme="minorHAnsi" w:cstheme="minorHAnsi"/>
                <w:color w:val="auto"/>
                <w:sz w:val="22"/>
                <w:szCs w:val="22"/>
              </w:rPr>
              <w:t xml:space="preserve">Membership of the </w:t>
            </w:r>
            <w:r w:rsidR="00E30802" w:rsidRPr="00E30802">
              <w:rPr>
                <w:rFonts w:asciiTheme="minorHAnsi" w:eastAsiaTheme="minorHAnsi" w:hAnsiTheme="minorHAnsi" w:cstheme="minorBidi"/>
                <w:b/>
                <w:color w:val="auto"/>
                <w:sz w:val="22"/>
                <w:szCs w:val="22"/>
              </w:rPr>
              <w:t xml:space="preserve">Data Access Group </w:t>
            </w:r>
            <w:r w:rsidRPr="00E30802">
              <w:rPr>
                <w:rFonts w:asciiTheme="minorHAnsi" w:eastAsiaTheme="minorHAnsi" w:hAnsiTheme="minorHAnsi" w:cstheme="minorBidi"/>
                <w:bCs/>
                <w:color w:val="auto"/>
                <w:sz w:val="22"/>
                <w:szCs w:val="22"/>
              </w:rPr>
              <w:t>will</w:t>
            </w:r>
            <w:r w:rsidRPr="00E30802">
              <w:rPr>
                <w:rFonts w:asciiTheme="minorHAnsi" w:hAnsiTheme="minorHAnsi" w:cstheme="minorHAnsi"/>
                <w:bCs/>
                <w:color w:val="auto"/>
                <w:sz w:val="22"/>
                <w:szCs w:val="22"/>
              </w:rPr>
              <w:t xml:space="preserve"> </w:t>
            </w:r>
            <w:r w:rsidRPr="00F52C10">
              <w:rPr>
                <w:rFonts w:asciiTheme="minorHAnsi" w:hAnsiTheme="minorHAnsi" w:cstheme="minorHAnsi"/>
                <w:color w:val="auto"/>
                <w:sz w:val="22"/>
                <w:szCs w:val="22"/>
              </w:rPr>
              <w:t>be made up of the following</w:t>
            </w:r>
            <w:r w:rsidR="00F65F35">
              <w:rPr>
                <w:rFonts w:asciiTheme="minorHAnsi" w:hAnsiTheme="minorHAnsi" w:cstheme="minorHAnsi"/>
                <w:color w:val="auto"/>
                <w:sz w:val="22"/>
                <w:szCs w:val="22"/>
              </w:rPr>
              <w:t xml:space="preserve"> members</w:t>
            </w:r>
            <w:r w:rsidRPr="00F52C10">
              <w:rPr>
                <w:rFonts w:asciiTheme="minorHAnsi" w:hAnsiTheme="minorHAnsi" w:cstheme="minorHAnsi"/>
                <w:color w:val="auto"/>
                <w:sz w:val="22"/>
                <w:szCs w:val="22"/>
              </w:rPr>
              <w:t>:</w:t>
            </w:r>
          </w:p>
          <w:p w14:paraId="3605AEA1" w14:textId="1309162E" w:rsidR="00A2752A" w:rsidRDefault="00A2752A" w:rsidP="00A2752A"/>
          <w:p w14:paraId="5002D305" w14:textId="39753247" w:rsidR="00A2752A" w:rsidRPr="00A2752A" w:rsidRDefault="00A2752A" w:rsidP="00A2752A">
            <w:pPr>
              <w:pStyle w:val="NormalWeb"/>
              <w:numPr>
                <w:ilvl w:val="0"/>
                <w:numId w:val="21"/>
              </w:numPr>
              <w:shd w:val="clear" w:color="auto" w:fill="FFFFFF"/>
              <w:jc w:val="both"/>
              <w:rPr>
                <w:rFonts w:asciiTheme="minorHAnsi" w:eastAsiaTheme="majorEastAsia" w:hAnsiTheme="minorHAnsi" w:cstheme="minorHAnsi"/>
                <w:sz w:val="22"/>
                <w:szCs w:val="22"/>
                <w:lang w:eastAsia="en-US"/>
              </w:rPr>
            </w:pPr>
            <w:r w:rsidRPr="00A2752A">
              <w:rPr>
                <w:rFonts w:asciiTheme="minorHAnsi" w:eastAsiaTheme="majorEastAsia" w:hAnsiTheme="minorHAnsi" w:cstheme="minorHAnsi"/>
                <w:sz w:val="22"/>
                <w:szCs w:val="22"/>
                <w:lang w:eastAsia="en-US"/>
              </w:rPr>
              <w:t>Academic representation – from Brunel and Imperial College London</w:t>
            </w:r>
            <w:r w:rsidR="006B7D60">
              <w:rPr>
                <w:rFonts w:asciiTheme="minorHAnsi" w:eastAsiaTheme="majorEastAsia" w:hAnsiTheme="minorHAnsi" w:cstheme="minorHAnsi"/>
                <w:sz w:val="22"/>
                <w:szCs w:val="22"/>
                <w:lang w:eastAsia="en-US"/>
              </w:rPr>
              <w:t>;</w:t>
            </w:r>
            <w:r w:rsidRPr="00A2752A">
              <w:rPr>
                <w:rFonts w:asciiTheme="minorHAnsi" w:eastAsiaTheme="majorEastAsia" w:hAnsiTheme="minorHAnsi" w:cstheme="minorHAnsi"/>
                <w:sz w:val="22"/>
                <w:szCs w:val="22"/>
                <w:lang w:eastAsia="en-US"/>
              </w:rPr>
              <w:t xml:space="preserve"> </w:t>
            </w:r>
          </w:p>
          <w:p w14:paraId="17665257" w14:textId="6016A562" w:rsidR="00A2752A" w:rsidRPr="00A2752A" w:rsidRDefault="00A2752A" w:rsidP="00A2752A">
            <w:pPr>
              <w:pStyle w:val="NormalWeb"/>
              <w:numPr>
                <w:ilvl w:val="0"/>
                <w:numId w:val="21"/>
              </w:numPr>
              <w:shd w:val="clear" w:color="auto" w:fill="FFFFFF"/>
              <w:jc w:val="both"/>
              <w:rPr>
                <w:rFonts w:asciiTheme="minorHAnsi" w:eastAsiaTheme="majorEastAsia" w:hAnsiTheme="minorHAnsi" w:cstheme="minorHAnsi"/>
                <w:sz w:val="22"/>
                <w:szCs w:val="22"/>
                <w:lang w:eastAsia="en-US"/>
              </w:rPr>
            </w:pPr>
            <w:r w:rsidRPr="00A2752A">
              <w:rPr>
                <w:rFonts w:asciiTheme="minorHAnsi" w:eastAsiaTheme="majorEastAsia" w:hAnsiTheme="minorHAnsi" w:cstheme="minorHAnsi"/>
                <w:sz w:val="22"/>
                <w:szCs w:val="22"/>
                <w:lang w:eastAsia="en-US"/>
              </w:rPr>
              <w:t>CCIO of the sector</w:t>
            </w:r>
            <w:r w:rsidR="006B7D60">
              <w:rPr>
                <w:rFonts w:asciiTheme="minorHAnsi" w:eastAsiaTheme="majorEastAsia" w:hAnsiTheme="minorHAnsi" w:cstheme="minorHAnsi"/>
                <w:sz w:val="22"/>
                <w:szCs w:val="22"/>
                <w:lang w:eastAsia="en-US"/>
              </w:rPr>
              <w:t>;</w:t>
            </w:r>
            <w:r w:rsidRPr="00A2752A">
              <w:rPr>
                <w:rFonts w:asciiTheme="minorHAnsi" w:eastAsiaTheme="majorEastAsia" w:hAnsiTheme="minorHAnsi" w:cstheme="minorHAnsi"/>
                <w:sz w:val="22"/>
                <w:szCs w:val="22"/>
                <w:lang w:eastAsia="en-US"/>
              </w:rPr>
              <w:t xml:space="preserve"> </w:t>
            </w:r>
          </w:p>
          <w:p w14:paraId="4B71A02F" w14:textId="5FD38767" w:rsidR="00A2752A" w:rsidRPr="00A2752A" w:rsidRDefault="00A2752A" w:rsidP="00A2752A">
            <w:pPr>
              <w:pStyle w:val="NormalWeb"/>
              <w:numPr>
                <w:ilvl w:val="0"/>
                <w:numId w:val="21"/>
              </w:numPr>
              <w:shd w:val="clear" w:color="auto" w:fill="FFFFFF"/>
              <w:jc w:val="both"/>
              <w:rPr>
                <w:rFonts w:asciiTheme="minorHAnsi" w:eastAsiaTheme="majorEastAsia" w:hAnsiTheme="minorHAnsi" w:cstheme="minorHAnsi"/>
                <w:sz w:val="22"/>
                <w:szCs w:val="22"/>
                <w:lang w:eastAsia="en-US"/>
              </w:rPr>
            </w:pPr>
            <w:r w:rsidRPr="00A2752A">
              <w:rPr>
                <w:rFonts w:asciiTheme="minorHAnsi" w:eastAsiaTheme="majorEastAsia" w:hAnsiTheme="minorHAnsi" w:cstheme="minorHAnsi"/>
                <w:sz w:val="22"/>
                <w:szCs w:val="22"/>
                <w:lang w:eastAsia="en-US"/>
              </w:rPr>
              <w:t>Discover-Now Representative</w:t>
            </w:r>
            <w:r w:rsidR="006B7D60">
              <w:rPr>
                <w:rFonts w:asciiTheme="minorHAnsi" w:eastAsiaTheme="majorEastAsia" w:hAnsiTheme="minorHAnsi" w:cstheme="minorHAnsi"/>
                <w:sz w:val="22"/>
                <w:szCs w:val="22"/>
                <w:lang w:eastAsia="en-US"/>
              </w:rPr>
              <w:t>;</w:t>
            </w:r>
            <w:r w:rsidRPr="00A2752A">
              <w:rPr>
                <w:rFonts w:asciiTheme="minorHAnsi" w:eastAsiaTheme="majorEastAsia" w:hAnsiTheme="minorHAnsi" w:cstheme="minorHAnsi"/>
                <w:sz w:val="22"/>
                <w:szCs w:val="22"/>
                <w:lang w:eastAsia="en-US"/>
              </w:rPr>
              <w:t xml:space="preserve"> </w:t>
            </w:r>
          </w:p>
          <w:p w14:paraId="611AF6FA" w14:textId="50FE5C59" w:rsidR="00A2752A" w:rsidRPr="00A2752A" w:rsidRDefault="00A2752A" w:rsidP="00A2752A">
            <w:pPr>
              <w:pStyle w:val="NormalWeb"/>
              <w:numPr>
                <w:ilvl w:val="0"/>
                <w:numId w:val="21"/>
              </w:numPr>
              <w:shd w:val="clear" w:color="auto" w:fill="FFFFFF"/>
              <w:jc w:val="both"/>
              <w:rPr>
                <w:rFonts w:asciiTheme="minorHAnsi" w:eastAsiaTheme="majorEastAsia" w:hAnsiTheme="minorHAnsi" w:cstheme="minorHAnsi"/>
                <w:sz w:val="22"/>
                <w:szCs w:val="22"/>
                <w:lang w:eastAsia="en-US"/>
              </w:rPr>
            </w:pPr>
            <w:r w:rsidRPr="00A2752A">
              <w:rPr>
                <w:rFonts w:asciiTheme="minorHAnsi" w:eastAsiaTheme="majorEastAsia" w:hAnsiTheme="minorHAnsi" w:cstheme="minorHAnsi"/>
                <w:sz w:val="22"/>
                <w:szCs w:val="22"/>
                <w:lang w:eastAsia="en-US"/>
              </w:rPr>
              <w:t>R&amp;D directors of the trusts</w:t>
            </w:r>
            <w:r w:rsidR="006B7D60">
              <w:rPr>
                <w:rFonts w:asciiTheme="minorHAnsi" w:eastAsiaTheme="majorEastAsia" w:hAnsiTheme="minorHAnsi" w:cstheme="minorHAnsi"/>
                <w:sz w:val="22"/>
                <w:szCs w:val="22"/>
                <w:lang w:eastAsia="en-US"/>
              </w:rPr>
              <w:t>;</w:t>
            </w:r>
            <w:r w:rsidRPr="00A2752A">
              <w:rPr>
                <w:rFonts w:asciiTheme="minorHAnsi" w:eastAsiaTheme="majorEastAsia" w:hAnsiTheme="minorHAnsi" w:cstheme="minorHAnsi"/>
                <w:sz w:val="22"/>
                <w:szCs w:val="22"/>
                <w:lang w:eastAsia="en-US"/>
              </w:rPr>
              <w:t xml:space="preserve"> </w:t>
            </w:r>
          </w:p>
          <w:p w14:paraId="24193AF0" w14:textId="5EAC1AE2" w:rsidR="00A2752A" w:rsidRPr="00A2752A" w:rsidRDefault="00A2752A" w:rsidP="00A2752A">
            <w:pPr>
              <w:pStyle w:val="NormalWeb"/>
              <w:numPr>
                <w:ilvl w:val="0"/>
                <w:numId w:val="21"/>
              </w:numPr>
              <w:shd w:val="clear" w:color="auto" w:fill="FFFFFF"/>
              <w:jc w:val="both"/>
              <w:rPr>
                <w:rFonts w:asciiTheme="minorHAnsi" w:eastAsiaTheme="majorEastAsia" w:hAnsiTheme="minorHAnsi" w:cstheme="minorHAnsi"/>
                <w:sz w:val="22"/>
                <w:szCs w:val="22"/>
                <w:lang w:eastAsia="en-US"/>
              </w:rPr>
            </w:pPr>
            <w:r w:rsidRPr="00A2752A">
              <w:rPr>
                <w:rFonts w:asciiTheme="minorHAnsi" w:eastAsiaTheme="majorEastAsia" w:hAnsiTheme="minorHAnsi" w:cstheme="minorHAnsi"/>
                <w:sz w:val="22"/>
                <w:szCs w:val="22"/>
                <w:lang w:eastAsia="en-US"/>
              </w:rPr>
              <w:t>Information governance representation from all provider</w:t>
            </w:r>
            <w:r w:rsidR="006B7D60">
              <w:rPr>
                <w:rFonts w:asciiTheme="minorHAnsi" w:eastAsiaTheme="majorEastAsia" w:hAnsiTheme="minorHAnsi" w:cstheme="minorHAnsi"/>
                <w:sz w:val="22"/>
                <w:szCs w:val="22"/>
                <w:lang w:eastAsia="en-US"/>
              </w:rPr>
              <w:t>/data controller</w:t>
            </w:r>
            <w:r w:rsidRPr="00A2752A">
              <w:rPr>
                <w:rFonts w:asciiTheme="minorHAnsi" w:eastAsiaTheme="majorEastAsia" w:hAnsiTheme="minorHAnsi" w:cstheme="minorHAnsi"/>
                <w:sz w:val="22"/>
                <w:szCs w:val="22"/>
                <w:lang w:eastAsia="en-US"/>
              </w:rPr>
              <w:t xml:space="preserve"> partners</w:t>
            </w:r>
            <w:r w:rsidR="006B7D60">
              <w:rPr>
                <w:rFonts w:asciiTheme="minorHAnsi" w:eastAsiaTheme="majorEastAsia" w:hAnsiTheme="minorHAnsi" w:cstheme="minorHAnsi"/>
                <w:sz w:val="22"/>
                <w:szCs w:val="22"/>
                <w:lang w:eastAsia="en-US"/>
              </w:rPr>
              <w:t>;</w:t>
            </w:r>
            <w:r w:rsidRPr="00A2752A">
              <w:rPr>
                <w:rFonts w:asciiTheme="minorHAnsi" w:eastAsiaTheme="majorEastAsia" w:hAnsiTheme="minorHAnsi" w:cstheme="minorHAnsi"/>
                <w:sz w:val="22"/>
                <w:szCs w:val="22"/>
                <w:lang w:eastAsia="en-US"/>
              </w:rPr>
              <w:t xml:space="preserve"> </w:t>
            </w:r>
          </w:p>
          <w:p w14:paraId="76F6DE74" w14:textId="0B9046CB" w:rsidR="00A2752A" w:rsidRPr="00A2752A" w:rsidRDefault="00A2752A" w:rsidP="00A2752A">
            <w:pPr>
              <w:pStyle w:val="NormalWeb"/>
              <w:numPr>
                <w:ilvl w:val="0"/>
                <w:numId w:val="21"/>
              </w:numPr>
              <w:shd w:val="clear" w:color="auto" w:fill="FFFFFF"/>
              <w:jc w:val="both"/>
              <w:rPr>
                <w:rFonts w:asciiTheme="minorHAnsi" w:eastAsiaTheme="majorEastAsia" w:hAnsiTheme="minorHAnsi" w:cstheme="minorHAnsi"/>
                <w:sz w:val="22"/>
                <w:szCs w:val="22"/>
                <w:lang w:eastAsia="en-US"/>
              </w:rPr>
            </w:pPr>
            <w:r w:rsidRPr="00A2752A">
              <w:rPr>
                <w:rFonts w:asciiTheme="minorHAnsi" w:eastAsiaTheme="majorEastAsia" w:hAnsiTheme="minorHAnsi" w:cstheme="minorHAnsi"/>
                <w:sz w:val="22"/>
                <w:szCs w:val="22"/>
                <w:lang w:eastAsia="en-US"/>
              </w:rPr>
              <w:t>WSIC representation</w:t>
            </w:r>
            <w:r w:rsidR="006B7D60">
              <w:rPr>
                <w:rFonts w:asciiTheme="minorHAnsi" w:eastAsiaTheme="majorEastAsia" w:hAnsiTheme="minorHAnsi" w:cstheme="minorHAnsi"/>
                <w:sz w:val="22"/>
                <w:szCs w:val="22"/>
                <w:lang w:eastAsia="en-US"/>
              </w:rPr>
              <w:t>;</w:t>
            </w:r>
            <w:r w:rsidRPr="00A2752A">
              <w:rPr>
                <w:rFonts w:asciiTheme="minorHAnsi" w:eastAsiaTheme="majorEastAsia" w:hAnsiTheme="minorHAnsi" w:cstheme="minorHAnsi"/>
                <w:sz w:val="22"/>
                <w:szCs w:val="22"/>
                <w:lang w:eastAsia="en-US"/>
              </w:rPr>
              <w:t xml:space="preserve"> </w:t>
            </w:r>
          </w:p>
          <w:p w14:paraId="77C0FD1A" w14:textId="2FCD3EF7" w:rsidR="00A2752A" w:rsidRPr="00A2752A" w:rsidRDefault="00A2752A" w:rsidP="00A2752A">
            <w:pPr>
              <w:pStyle w:val="NormalWeb"/>
              <w:numPr>
                <w:ilvl w:val="0"/>
                <w:numId w:val="21"/>
              </w:numPr>
              <w:shd w:val="clear" w:color="auto" w:fill="FFFFFF"/>
              <w:jc w:val="both"/>
              <w:rPr>
                <w:rFonts w:asciiTheme="minorHAnsi" w:eastAsiaTheme="majorEastAsia" w:hAnsiTheme="minorHAnsi" w:cstheme="minorHAnsi"/>
                <w:sz w:val="22"/>
                <w:szCs w:val="22"/>
                <w:lang w:eastAsia="en-US"/>
              </w:rPr>
            </w:pPr>
            <w:r w:rsidRPr="00A2752A">
              <w:rPr>
                <w:rFonts w:asciiTheme="minorHAnsi" w:eastAsiaTheme="majorEastAsia" w:hAnsiTheme="minorHAnsi" w:cstheme="minorHAnsi"/>
                <w:sz w:val="22"/>
                <w:szCs w:val="22"/>
                <w:lang w:eastAsia="en-US"/>
              </w:rPr>
              <w:t xml:space="preserve">Lay </w:t>
            </w:r>
            <w:r w:rsidR="006B7D60">
              <w:rPr>
                <w:rFonts w:asciiTheme="minorHAnsi" w:eastAsiaTheme="majorEastAsia" w:hAnsiTheme="minorHAnsi" w:cstheme="minorHAnsi"/>
                <w:sz w:val="22"/>
                <w:szCs w:val="22"/>
                <w:lang w:eastAsia="en-US"/>
              </w:rPr>
              <w:t>members;</w:t>
            </w:r>
            <w:r w:rsidRPr="00A2752A">
              <w:rPr>
                <w:rFonts w:asciiTheme="minorHAnsi" w:eastAsiaTheme="majorEastAsia" w:hAnsiTheme="minorHAnsi" w:cstheme="minorHAnsi"/>
                <w:sz w:val="22"/>
                <w:szCs w:val="22"/>
                <w:lang w:eastAsia="en-US"/>
              </w:rPr>
              <w:t xml:space="preserve"> </w:t>
            </w:r>
          </w:p>
          <w:p w14:paraId="2A40EC8E" w14:textId="3002F75D" w:rsidR="00E30802" w:rsidRPr="00A2752A" w:rsidRDefault="00A2752A" w:rsidP="00A2752A">
            <w:pPr>
              <w:pStyle w:val="NormalWeb"/>
              <w:numPr>
                <w:ilvl w:val="0"/>
                <w:numId w:val="21"/>
              </w:numPr>
              <w:shd w:val="clear" w:color="auto" w:fill="FFFFFF"/>
              <w:jc w:val="both"/>
              <w:rPr>
                <w:rFonts w:asciiTheme="minorHAnsi" w:eastAsiaTheme="majorEastAsia" w:hAnsiTheme="minorHAnsi" w:cstheme="minorHAnsi"/>
                <w:sz w:val="22"/>
                <w:szCs w:val="22"/>
                <w:lang w:eastAsia="en-US"/>
              </w:rPr>
            </w:pPr>
            <w:r w:rsidRPr="00A2752A">
              <w:rPr>
                <w:rFonts w:asciiTheme="minorHAnsi" w:eastAsiaTheme="majorEastAsia" w:hAnsiTheme="minorHAnsi" w:cstheme="minorHAnsi"/>
                <w:sz w:val="22"/>
                <w:szCs w:val="22"/>
                <w:lang w:eastAsia="en-US"/>
              </w:rPr>
              <w:t>NIHR/CRN representation</w:t>
            </w:r>
            <w:r w:rsidR="006B7D60">
              <w:rPr>
                <w:rFonts w:asciiTheme="minorHAnsi" w:eastAsiaTheme="majorEastAsia" w:hAnsiTheme="minorHAnsi" w:cstheme="minorHAnsi"/>
                <w:sz w:val="22"/>
                <w:szCs w:val="22"/>
                <w:lang w:eastAsia="en-US"/>
              </w:rPr>
              <w:t xml:space="preserve">. </w:t>
            </w:r>
            <w:r w:rsidRPr="00A2752A">
              <w:rPr>
                <w:rFonts w:asciiTheme="minorHAnsi" w:eastAsiaTheme="majorEastAsia" w:hAnsiTheme="minorHAnsi" w:cstheme="minorHAnsi"/>
                <w:sz w:val="22"/>
                <w:szCs w:val="22"/>
                <w:lang w:eastAsia="en-US"/>
              </w:rPr>
              <w:t xml:space="preserve"> </w:t>
            </w:r>
          </w:p>
          <w:p w14:paraId="11875F4F" w14:textId="672BDD73" w:rsidR="00146402" w:rsidRPr="00146402" w:rsidRDefault="00146402" w:rsidP="00146402">
            <w:pPr>
              <w:spacing w:before="60" w:after="60"/>
              <w:jc w:val="both"/>
              <w:rPr>
                <w:bCs/>
              </w:rPr>
            </w:pPr>
            <w:r>
              <w:t xml:space="preserve">Each member should be mindful that their appointment, to the </w:t>
            </w:r>
            <w:r w:rsidRPr="00D141B6">
              <w:rPr>
                <w:b/>
              </w:rPr>
              <w:t>Data Access</w:t>
            </w:r>
            <w:r>
              <w:rPr>
                <w:b/>
              </w:rPr>
              <w:t xml:space="preserve"> </w:t>
            </w:r>
            <w:r w:rsidRPr="00146402">
              <w:rPr>
                <w:bCs/>
              </w:rPr>
              <w:t>Group</w:t>
            </w:r>
            <w:r>
              <w:rPr>
                <w:bCs/>
              </w:rPr>
              <w:t xml:space="preserve">, </w:t>
            </w:r>
            <w:r w:rsidRPr="00146402">
              <w:rPr>
                <w:bCs/>
              </w:rPr>
              <w:t>has</w:t>
            </w:r>
            <w:r>
              <w:rPr>
                <w:bCs/>
              </w:rPr>
              <w:t xml:space="preserve"> been carefully considered in order to ensure there is </w:t>
            </w:r>
            <w:r>
              <w:rPr>
                <w:bCs/>
              </w:rPr>
              <w:lastRenderedPageBreak/>
              <w:t xml:space="preserve">a broad range of expertise, knowledge and experience in the </w:t>
            </w:r>
            <w:r w:rsidR="00B36614">
              <w:rPr>
                <w:bCs/>
              </w:rPr>
              <w:t xml:space="preserve">overall </w:t>
            </w:r>
            <w:r>
              <w:rPr>
                <w:bCs/>
              </w:rPr>
              <w:t>membership</w:t>
            </w:r>
            <w:r w:rsidR="00DE4897">
              <w:rPr>
                <w:bCs/>
              </w:rPr>
              <w:t xml:space="preserve"> </w:t>
            </w:r>
            <w:r w:rsidR="00B36614">
              <w:rPr>
                <w:bCs/>
              </w:rPr>
              <w:t>to enable</w:t>
            </w:r>
            <w:r w:rsidR="00DE4897">
              <w:rPr>
                <w:bCs/>
              </w:rPr>
              <w:t xml:space="preserve"> the committee to arrive at the best possible decision</w:t>
            </w:r>
            <w:r>
              <w:rPr>
                <w:bCs/>
              </w:rPr>
              <w:t xml:space="preserve">. Wherever possible, </w:t>
            </w:r>
            <w:r w:rsidR="00DE4897">
              <w:rPr>
                <w:bCs/>
              </w:rPr>
              <w:t xml:space="preserve">each </w:t>
            </w:r>
            <w:r w:rsidR="00AE095D">
              <w:rPr>
                <w:bCs/>
              </w:rPr>
              <w:t xml:space="preserve">member’s </w:t>
            </w:r>
            <w:r>
              <w:rPr>
                <w:bCs/>
              </w:rPr>
              <w:t>input</w:t>
            </w:r>
            <w:r w:rsidR="00AE095D">
              <w:rPr>
                <w:bCs/>
              </w:rPr>
              <w:t>,</w:t>
            </w:r>
            <w:r>
              <w:rPr>
                <w:bCs/>
              </w:rPr>
              <w:t xml:space="preserve"> on the agenda items</w:t>
            </w:r>
            <w:r w:rsidR="00AE095D">
              <w:rPr>
                <w:bCs/>
              </w:rPr>
              <w:t xml:space="preserve">, </w:t>
            </w:r>
            <w:r>
              <w:rPr>
                <w:bCs/>
              </w:rPr>
              <w:t>should reflect the</w:t>
            </w:r>
            <w:r w:rsidR="00AE095D">
              <w:rPr>
                <w:bCs/>
              </w:rPr>
              <w:t>ir role in the committee</w:t>
            </w:r>
            <w:r>
              <w:rPr>
                <w:bCs/>
              </w:rPr>
              <w:t xml:space="preserve">. </w:t>
            </w:r>
            <w:r w:rsidR="00DE4897">
              <w:rPr>
                <w:bCs/>
              </w:rPr>
              <w:t xml:space="preserve"> Only by way of an </w:t>
            </w:r>
            <w:r>
              <w:rPr>
                <w:bCs/>
              </w:rPr>
              <w:t>example</w:t>
            </w:r>
            <w:r w:rsidR="00DE4897">
              <w:rPr>
                <w:bCs/>
              </w:rPr>
              <w:t xml:space="preserve"> to highlight the aim of this paragraph</w:t>
            </w:r>
            <w:r>
              <w:rPr>
                <w:bCs/>
              </w:rPr>
              <w:t xml:space="preserve">, </w:t>
            </w:r>
            <w:r w:rsidR="00A2752A">
              <w:rPr>
                <w:bCs/>
              </w:rPr>
              <w:t xml:space="preserve">whilst </w:t>
            </w:r>
            <w:r w:rsidR="00DE4897">
              <w:rPr>
                <w:bCs/>
              </w:rPr>
              <w:t xml:space="preserve">the person appointed to give ‘information governance representation’  </w:t>
            </w:r>
            <w:r w:rsidR="00A2752A">
              <w:rPr>
                <w:bCs/>
              </w:rPr>
              <w:t xml:space="preserve">may have an </w:t>
            </w:r>
            <w:r w:rsidR="00DE4897">
              <w:rPr>
                <w:bCs/>
              </w:rPr>
              <w:t>opinion</w:t>
            </w:r>
            <w:r w:rsidR="00A2752A">
              <w:rPr>
                <w:bCs/>
              </w:rPr>
              <w:t xml:space="preserve"> on something related to how the patient/public feel about a decision, it is most likely that the</w:t>
            </w:r>
            <w:r w:rsidR="00DE4897">
              <w:rPr>
                <w:bCs/>
              </w:rPr>
              <w:t xml:space="preserve"> perspective of the ‘</w:t>
            </w:r>
            <w:r w:rsidR="00A2752A">
              <w:rPr>
                <w:bCs/>
              </w:rPr>
              <w:t>Lay members</w:t>
            </w:r>
            <w:r w:rsidR="00DE4897">
              <w:rPr>
                <w:bCs/>
              </w:rPr>
              <w:t>’</w:t>
            </w:r>
            <w:r w:rsidR="00A2752A">
              <w:rPr>
                <w:bCs/>
              </w:rPr>
              <w:t xml:space="preserve"> are more relevant and must be heard, </w:t>
            </w:r>
            <w:r w:rsidR="00DE4897">
              <w:rPr>
                <w:bCs/>
              </w:rPr>
              <w:t>and</w:t>
            </w:r>
            <w:r w:rsidR="00A2752A">
              <w:rPr>
                <w:bCs/>
              </w:rPr>
              <w:t xml:space="preserve"> </w:t>
            </w:r>
            <w:r w:rsidR="00DE4897">
              <w:rPr>
                <w:bCs/>
              </w:rPr>
              <w:t xml:space="preserve">vice versa. </w:t>
            </w:r>
          </w:p>
          <w:p w14:paraId="489BDA51" w14:textId="784BE942" w:rsidR="0084076A" w:rsidRPr="00F52C10" w:rsidRDefault="0084076A" w:rsidP="0084076A">
            <w:pPr>
              <w:pStyle w:val="ListParagraph"/>
            </w:pPr>
          </w:p>
        </w:tc>
      </w:tr>
      <w:tr w:rsidR="00E17611" w14:paraId="33B6CED4" w14:textId="77777777" w:rsidTr="00C14855">
        <w:tc>
          <w:tcPr>
            <w:tcW w:w="2405" w:type="dxa"/>
          </w:tcPr>
          <w:p w14:paraId="20702A1F" w14:textId="77777777" w:rsidR="00E17611" w:rsidRDefault="00E17611" w:rsidP="004837C6">
            <w:pPr>
              <w:pStyle w:val="ListParagraph"/>
              <w:numPr>
                <w:ilvl w:val="0"/>
                <w:numId w:val="1"/>
              </w:numPr>
              <w:spacing w:before="60" w:after="60"/>
            </w:pPr>
            <w:r>
              <w:lastRenderedPageBreak/>
              <w:t xml:space="preserve">Membership </w:t>
            </w:r>
          </w:p>
          <w:p w14:paraId="05223CC0" w14:textId="7E410BD7" w:rsidR="00E17611" w:rsidRDefault="00E17611" w:rsidP="00E17611">
            <w:pPr>
              <w:pStyle w:val="ListParagraph"/>
              <w:spacing w:before="60" w:after="60"/>
              <w:ind w:left="360"/>
            </w:pPr>
            <w:r>
              <w:t>(Non-Voting)</w:t>
            </w:r>
          </w:p>
        </w:tc>
        <w:tc>
          <w:tcPr>
            <w:tcW w:w="6521" w:type="dxa"/>
          </w:tcPr>
          <w:p w14:paraId="0D814814" w14:textId="43204C1A" w:rsidR="00E17611" w:rsidRDefault="00E943D7" w:rsidP="00020FAB">
            <w:pPr>
              <w:spacing w:before="60" w:after="60"/>
              <w:jc w:val="both"/>
            </w:pPr>
            <w:r>
              <w:t>Members</w:t>
            </w:r>
            <w:r w:rsidR="00E17611">
              <w:t xml:space="preserve"> may invite individuals and teams to attend the</w:t>
            </w:r>
            <w:r w:rsidR="00E30802">
              <w:t xml:space="preserve"> </w:t>
            </w:r>
            <w:r w:rsidR="00020FAB" w:rsidRPr="00D141B6">
              <w:rPr>
                <w:b/>
              </w:rPr>
              <w:t>Data Access</w:t>
            </w:r>
            <w:r w:rsidR="00E30802">
              <w:rPr>
                <w:b/>
              </w:rPr>
              <w:t xml:space="preserve"> </w:t>
            </w:r>
            <w:r w:rsidR="00020FAB" w:rsidRPr="00D141B6">
              <w:rPr>
                <w:b/>
              </w:rPr>
              <w:t>Gro</w:t>
            </w:r>
            <w:r w:rsidR="00E30802">
              <w:rPr>
                <w:b/>
              </w:rPr>
              <w:t>up</w:t>
            </w:r>
            <w:r w:rsidR="00020FAB">
              <w:rPr>
                <w:b/>
              </w:rPr>
              <w:t xml:space="preserve"> </w:t>
            </w:r>
            <w:r w:rsidR="00E17611">
              <w:t xml:space="preserve">to provide information and updates </w:t>
            </w:r>
            <w:r w:rsidR="00F52C10">
              <w:t xml:space="preserve">relevant to the agenda. </w:t>
            </w:r>
            <w:r w:rsidR="00E17611">
              <w:t xml:space="preserve"> </w:t>
            </w:r>
            <w:r w:rsidR="00CC7B80">
              <w:t xml:space="preserve">Such attendees shall not, unless they hold a valid proxy, be eligible to vote on any matters before the group. </w:t>
            </w:r>
          </w:p>
        </w:tc>
      </w:tr>
      <w:tr w:rsidR="00855090" w14:paraId="075897A3" w14:textId="77777777" w:rsidTr="00C14855">
        <w:tc>
          <w:tcPr>
            <w:tcW w:w="2405" w:type="dxa"/>
          </w:tcPr>
          <w:p w14:paraId="77099357" w14:textId="197CE077" w:rsidR="00855090" w:rsidRDefault="00855090" w:rsidP="004837C6">
            <w:pPr>
              <w:pStyle w:val="ListParagraph"/>
              <w:numPr>
                <w:ilvl w:val="0"/>
                <w:numId w:val="1"/>
              </w:numPr>
              <w:spacing w:before="60" w:after="60"/>
            </w:pPr>
            <w:r>
              <w:t>Eligibility</w:t>
            </w:r>
            <w:r w:rsidR="0084076A">
              <w:t xml:space="preserve"> and joining</w:t>
            </w:r>
          </w:p>
        </w:tc>
        <w:tc>
          <w:tcPr>
            <w:tcW w:w="6521" w:type="dxa"/>
          </w:tcPr>
          <w:p w14:paraId="30A1C831" w14:textId="1C93A24A" w:rsidR="0084076A" w:rsidRPr="00BF5ECA" w:rsidRDefault="0084076A" w:rsidP="00BF5ECA">
            <w:pPr>
              <w:spacing w:before="60" w:after="60"/>
              <w:jc w:val="both"/>
            </w:pPr>
            <w:r w:rsidRPr="00BF5ECA">
              <w:t>To be eligible to</w:t>
            </w:r>
            <w:r w:rsidR="00413BA9" w:rsidRPr="00BF5ECA">
              <w:t xml:space="preserve"> join the</w:t>
            </w:r>
            <w:r w:rsidR="009121C8" w:rsidRPr="00BF5ECA">
              <w:t xml:space="preserve"> </w:t>
            </w:r>
            <w:r w:rsidR="009121C8" w:rsidRPr="00BF5ECA">
              <w:rPr>
                <w:b/>
              </w:rPr>
              <w:t>Data Access Group</w:t>
            </w:r>
            <w:r w:rsidR="009121C8" w:rsidRPr="00BF5ECA">
              <w:t xml:space="preserve"> </w:t>
            </w:r>
            <w:r w:rsidRPr="00BF5ECA">
              <w:t>the following requirements need to be met:</w:t>
            </w:r>
          </w:p>
          <w:p w14:paraId="18DD9DDA" w14:textId="313B57D0" w:rsidR="0084076A" w:rsidRPr="00BF5ECA" w:rsidRDefault="00BF5ECA" w:rsidP="00BF5ECA">
            <w:pPr>
              <w:pStyle w:val="ListParagraph"/>
              <w:numPr>
                <w:ilvl w:val="0"/>
                <w:numId w:val="13"/>
              </w:numPr>
              <w:spacing w:before="60" w:after="60"/>
              <w:jc w:val="both"/>
            </w:pPr>
            <w:r w:rsidRPr="00BF5ECA">
              <w:t>Your organisation needs to be in involved in the North West London Collaboration;</w:t>
            </w:r>
          </w:p>
          <w:p w14:paraId="4CA48F78" w14:textId="19508053" w:rsidR="00BF5ECA" w:rsidRPr="00BF5ECA" w:rsidRDefault="00BF5ECA" w:rsidP="00BF5ECA">
            <w:pPr>
              <w:pStyle w:val="ListParagraph"/>
              <w:numPr>
                <w:ilvl w:val="0"/>
                <w:numId w:val="13"/>
              </w:numPr>
              <w:spacing w:before="60" w:after="60"/>
              <w:jc w:val="both"/>
            </w:pPr>
            <w:r w:rsidRPr="00BF5ECA">
              <w:t xml:space="preserve">A membership post must be vacant; </w:t>
            </w:r>
          </w:p>
          <w:p w14:paraId="75499EBE" w14:textId="42A39F0C" w:rsidR="00544C29" w:rsidRDefault="00BF5ECA" w:rsidP="00A2752A">
            <w:pPr>
              <w:pStyle w:val="ListParagraph"/>
              <w:numPr>
                <w:ilvl w:val="0"/>
                <w:numId w:val="13"/>
              </w:numPr>
              <w:spacing w:before="60" w:after="60"/>
              <w:jc w:val="both"/>
            </w:pPr>
            <w:r w:rsidRPr="00BF5ECA">
              <w:t>You a</w:t>
            </w:r>
            <w:r w:rsidR="0084076A" w:rsidRPr="00BF5ECA">
              <w:t>gree to act in accordance with their ethical and professional obligations</w:t>
            </w:r>
            <w:r w:rsidR="00385EF9" w:rsidRPr="00BF5ECA">
              <w:t xml:space="preserve"> set out by the group</w:t>
            </w:r>
            <w:r w:rsidR="0084076A" w:rsidRPr="00BF5ECA">
              <w:t>.</w:t>
            </w:r>
          </w:p>
          <w:p w14:paraId="1A1973B1" w14:textId="77777777" w:rsidR="00A2752A" w:rsidRDefault="00A2752A" w:rsidP="00A2752A">
            <w:pPr>
              <w:pStyle w:val="ListParagraph"/>
              <w:spacing w:before="60" w:after="60"/>
              <w:jc w:val="both"/>
            </w:pPr>
          </w:p>
          <w:p w14:paraId="456679B9" w14:textId="49EF480B" w:rsidR="00855090" w:rsidRPr="00E73B12" w:rsidRDefault="0084076A" w:rsidP="009121C8">
            <w:pPr>
              <w:spacing w:before="60" w:after="60"/>
              <w:jc w:val="both"/>
            </w:pPr>
            <w:r>
              <w:t xml:space="preserve">Requests to join the group must be made in writing to the Chair and will be considered before the group. </w:t>
            </w:r>
            <w:r w:rsidR="00BF5ECA">
              <w:t xml:space="preserve">All applications, to join, must be voted on by </w:t>
            </w:r>
            <w:r w:rsidR="00402C27">
              <w:t xml:space="preserve">the whole membership of the </w:t>
            </w:r>
            <w:r w:rsidR="00BF5ECA" w:rsidRPr="00402C27">
              <w:rPr>
                <w:b/>
                <w:bCs/>
              </w:rPr>
              <w:t>Data Access Group</w:t>
            </w:r>
            <w:r w:rsidR="00BF5ECA">
              <w:t xml:space="preserve"> and agreed by a simple majority. </w:t>
            </w:r>
          </w:p>
        </w:tc>
      </w:tr>
      <w:tr w:rsidR="004837C6" w14:paraId="7A1AC51C" w14:textId="77777777" w:rsidTr="00C14855">
        <w:tc>
          <w:tcPr>
            <w:tcW w:w="2405" w:type="dxa"/>
          </w:tcPr>
          <w:p w14:paraId="01BB00BD" w14:textId="77777777" w:rsidR="004837C6" w:rsidRDefault="004837C6" w:rsidP="004837C6">
            <w:pPr>
              <w:pStyle w:val="ListParagraph"/>
              <w:numPr>
                <w:ilvl w:val="0"/>
                <w:numId w:val="1"/>
              </w:numPr>
              <w:spacing w:before="60" w:after="60"/>
            </w:pPr>
            <w:r>
              <w:t>Proxies</w:t>
            </w:r>
          </w:p>
        </w:tc>
        <w:tc>
          <w:tcPr>
            <w:tcW w:w="6521" w:type="dxa"/>
          </w:tcPr>
          <w:p w14:paraId="7E18023C" w14:textId="5B108BE9" w:rsidR="004837C6" w:rsidRDefault="004837C6" w:rsidP="004837C6">
            <w:pPr>
              <w:spacing w:before="60" w:after="60"/>
            </w:pPr>
            <w:r w:rsidRPr="00E73B12">
              <w:t>A member may nominate an individual to take their place as a proxy.</w:t>
            </w:r>
          </w:p>
        </w:tc>
      </w:tr>
      <w:tr w:rsidR="00855090" w14:paraId="28661C87" w14:textId="77777777" w:rsidTr="00C14855">
        <w:tc>
          <w:tcPr>
            <w:tcW w:w="2405" w:type="dxa"/>
          </w:tcPr>
          <w:p w14:paraId="5D6943D4" w14:textId="21C65F6F" w:rsidR="00855090" w:rsidRDefault="00E17611" w:rsidP="004837C6">
            <w:pPr>
              <w:pStyle w:val="ListParagraph"/>
              <w:numPr>
                <w:ilvl w:val="0"/>
                <w:numId w:val="1"/>
              </w:numPr>
              <w:spacing w:before="60" w:after="60"/>
            </w:pPr>
            <w:r>
              <w:t>Representative Change</w:t>
            </w:r>
            <w:r w:rsidR="0084076A">
              <w:t xml:space="preserve"> and Withdrawal</w:t>
            </w:r>
          </w:p>
        </w:tc>
        <w:tc>
          <w:tcPr>
            <w:tcW w:w="6521" w:type="dxa"/>
          </w:tcPr>
          <w:p w14:paraId="04ABF136" w14:textId="3EE8CA02" w:rsidR="00EF77CE" w:rsidRPr="00F52E01" w:rsidRDefault="00E17611" w:rsidP="00F65F35">
            <w:pPr>
              <w:spacing w:before="60" w:after="60"/>
              <w:jc w:val="both"/>
              <w:rPr>
                <w:rFonts w:eastAsia="Times New Roman"/>
                <w:bCs/>
              </w:rPr>
            </w:pPr>
            <w:r w:rsidRPr="00AB7EC7">
              <w:rPr>
                <w:rFonts w:eastAsia="Times New Roman" w:cstheme="minorHAnsi"/>
              </w:rPr>
              <w:t>A</w:t>
            </w:r>
            <w:r>
              <w:rPr>
                <w:rFonts w:eastAsia="Times New Roman" w:cstheme="minorHAnsi"/>
              </w:rPr>
              <w:t xml:space="preserve"> </w:t>
            </w:r>
            <w:r w:rsidR="00F52C10">
              <w:rPr>
                <w:rFonts w:eastAsia="Times New Roman" w:cstheme="minorHAnsi"/>
              </w:rPr>
              <w:t>member</w:t>
            </w:r>
            <w:r w:rsidRPr="00AB7EC7">
              <w:rPr>
                <w:rFonts w:eastAsia="Times New Roman" w:cstheme="minorHAnsi"/>
              </w:rPr>
              <w:t xml:space="preserve"> may change its appointed </w:t>
            </w:r>
            <w:r>
              <w:rPr>
                <w:rFonts w:eastAsia="Times New Roman" w:cstheme="minorHAnsi"/>
              </w:rPr>
              <w:t>representative</w:t>
            </w:r>
            <w:r w:rsidR="00F52E01">
              <w:rPr>
                <w:rFonts w:eastAsia="Times New Roman" w:cstheme="minorHAnsi"/>
              </w:rPr>
              <w:t xml:space="preserve"> (“replacement member”)</w:t>
            </w:r>
            <w:r w:rsidRPr="00AB7EC7">
              <w:rPr>
                <w:rFonts w:eastAsia="Times New Roman" w:cstheme="minorHAnsi"/>
              </w:rPr>
              <w:t xml:space="preserve"> at any time </w:t>
            </w:r>
            <w:r>
              <w:rPr>
                <w:rFonts w:eastAsia="Times New Roman" w:cstheme="minorHAnsi"/>
              </w:rPr>
              <w:t>by</w:t>
            </w:r>
            <w:r w:rsidRPr="00AB7EC7">
              <w:rPr>
                <w:rFonts w:eastAsia="Times New Roman" w:cstheme="minorHAnsi"/>
              </w:rPr>
              <w:t xml:space="preserve"> written notice to </w:t>
            </w:r>
            <w:r>
              <w:rPr>
                <w:rFonts w:eastAsia="Times New Roman" w:cstheme="minorHAnsi"/>
              </w:rPr>
              <w:t>the</w:t>
            </w:r>
            <w:r w:rsidR="00F65F35">
              <w:rPr>
                <w:rFonts w:eastAsia="Times New Roman" w:cstheme="minorHAnsi"/>
              </w:rPr>
              <w:t xml:space="preserve"> </w:t>
            </w:r>
            <w:r w:rsidR="00F65F35" w:rsidRPr="00460F84">
              <w:rPr>
                <w:b/>
              </w:rPr>
              <w:t xml:space="preserve">Data Access </w:t>
            </w:r>
            <w:r w:rsidR="00F65F35" w:rsidRPr="00EF77CE">
              <w:rPr>
                <w:b/>
              </w:rPr>
              <w:t>Group</w:t>
            </w:r>
            <w:r w:rsidR="00F65F35">
              <w:rPr>
                <w:bCs/>
              </w:rPr>
              <w:t xml:space="preserve">. </w:t>
            </w:r>
            <w:r w:rsidR="009E759D" w:rsidRPr="00F65F35">
              <w:rPr>
                <w:rFonts w:eastAsia="Times New Roman" w:cstheme="minorHAnsi"/>
                <w:bCs/>
              </w:rPr>
              <w:t>D</w:t>
            </w:r>
            <w:r w:rsidR="009E759D" w:rsidRPr="00F65F35">
              <w:rPr>
                <w:rFonts w:eastAsia="Times New Roman"/>
                <w:bCs/>
              </w:rPr>
              <w:t>etails</w:t>
            </w:r>
            <w:r w:rsidR="009E759D" w:rsidRPr="005619B8">
              <w:rPr>
                <w:rFonts w:eastAsia="Times New Roman"/>
                <w:bCs/>
              </w:rPr>
              <w:t xml:space="preserve"> of </w:t>
            </w:r>
            <w:r w:rsidR="009E759D">
              <w:rPr>
                <w:rFonts w:eastAsia="Times New Roman"/>
                <w:bCs/>
              </w:rPr>
              <w:t xml:space="preserve">any </w:t>
            </w:r>
            <w:r w:rsidR="009E759D" w:rsidRPr="005619B8">
              <w:rPr>
                <w:rFonts w:eastAsia="Times New Roman"/>
                <w:bCs/>
              </w:rPr>
              <w:t>new</w:t>
            </w:r>
            <w:r w:rsidR="009E759D">
              <w:rPr>
                <w:rFonts w:eastAsia="Times New Roman"/>
                <w:bCs/>
              </w:rPr>
              <w:t xml:space="preserve"> </w:t>
            </w:r>
            <w:r w:rsidR="0084076A">
              <w:rPr>
                <w:rFonts w:eastAsia="Times New Roman"/>
                <w:bCs/>
              </w:rPr>
              <w:t>member</w:t>
            </w:r>
            <w:r w:rsidR="009E759D" w:rsidRPr="005619B8">
              <w:rPr>
                <w:rFonts w:eastAsia="Times New Roman"/>
                <w:bCs/>
              </w:rPr>
              <w:t xml:space="preserve"> </w:t>
            </w:r>
            <w:r w:rsidR="009E759D">
              <w:rPr>
                <w:rFonts w:eastAsia="Times New Roman"/>
                <w:bCs/>
              </w:rPr>
              <w:t xml:space="preserve">should be provided </w:t>
            </w:r>
            <w:r w:rsidR="009E759D" w:rsidRPr="005619B8">
              <w:rPr>
                <w:rFonts w:eastAsia="Times New Roman"/>
                <w:bCs/>
              </w:rPr>
              <w:t>as soon as is practicably possible</w:t>
            </w:r>
            <w:r w:rsidR="009E759D">
              <w:rPr>
                <w:rFonts w:eastAsia="Times New Roman"/>
                <w:bCs/>
              </w:rPr>
              <w:t>.</w:t>
            </w:r>
            <w:r w:rsidR="00F52E01">
              <w:rPr>
                <w:rFonts w:eastAsia="Times New Roman"/>
                <w:bCs/>
              </w:rPr>
              <w:t xml:space="preserve"> The appointment of the replacement member may be vetoed by the </w:t>
            </w:r>
            <w:r w:rsidR="00F52E01" w:rsidRPr="00460F84">
              <w:rPr>
                <w:b/>
              </w:rPr>
              <w:t xml:space="preserve">Data Access </w:t>
            </w:r>
            <w:r w:rsidR="00F52E01" w:rsidRPr="00EF77CE">
              <w:rPr>
                <w:b/>
              </w:rPr>
              <w:t>Group</w:t>
            </w:r>
            <w:r w:rsidR="00F52E01">
              <w:rPr>
                <w:bCs/>
              </w:rPr>
              <w:t xml:space="preserve">, if the it is voted on and a simple majority agrees to veto the appointment. </w:t>
            </w:r>
          </w:p>
          <w:p w14:paraId="26E7B30D" w14:textId="565E8F4A" w:rsidR="00801A13" w:rsidRDefault="00801A13" w:rsidP="00F65F35">
            <w:pPr>
              <w:spacing w:before="60" w:after="60"/>
              <w:jc w:val="both"/>
              <w:rPr>
                <w:rFonts w:eastAsia="Times New Roman"/>
                <w:bCs/>
              </w:rPr>
            </w:pPr>
            <w:r>
              <w:rPr>
                <w:rFonts w:eastAsia="Times New Roman"/>
                <w:bCs/>
              </w:rPr>
              <w:t xml:space="preserve"> </w:t>
            </w:r>
          </w:p>
          <w:p w14:paraId="2A5C0CDC" w14:textId="1CAEFC76" w:rsidR="00855090" w:rsidRDefault="00F52C10" w:rsidP="00F65F35">
            <w:pPr>
              <w:spacing w:before="60" w:after="60"/>
              <w:jc w:val="both"/>
            </w:pPr>
            <w:r>
              <w:rPr>
                <w:rFonts w:eastAsia="Times New Roman"/>
                <w:bCs/>
              </w:rPr>
              <w:t xml:space="preserve">Member </w:t>
            </w:r>
            <w:r w:rsidR="00801A13">
              <w:rPr>
                <w:rFonts w:eastAsia="Times New Roman"/>
                <w:bCs/>
              </w:rPr>
              <w:t xml:space="preserve">withdrawal from </w:t>
            </w:r>
            <w:r w:rsidR="00F65F35" w:rsidRPr="00460F84">
              <w:rPr>
                <w:b/>
              </w:rPr>
              <w:t>Data Access</w:t>
            </w:r>
            <w:r w:rsidR="00EF77CE">
              <w:rPr>
                <w:b/>
              </w:rPr>
              <w:t xml:space="preserve"> </w:t>
            </w:r>
            <w:r w:rsidR="00F65F35" w:rsidRPr="00460F84">
              <w:rPr>
                <w:b/>
              </w:rPr>
              <w:t>Group</w:t>
            </w:r>
            <w:r w:rsidR="00F65F35">
              <w:rPr>
                <w:b/>
              </w:rPr>
              <w:t xml:space="preserve"> </w:t>
            </w:r>
            <w:r w:rsidR="00801A13">
              <w:rPr>
                <w:rFonts w:eastAsia="Times New Roman"/>
                <w:bCs/>
              </w:rPr>
              <w:t>should also be provided in writing</w:t>
            </w:r>
            <w:r w:rsidR="0084076A">
              <w:rPr>
                <w:rFonts w:eastAsia="Times New Roman"/>
                <w:bCs/>
              </w:rPr>
              <w:t xml:space="preserve"> to the Chair at the earliest opportunity</w:t>
            </w:r>
            <w:r w:rsidR="00017D08">
              <w:rPr>
                <w:rFonts w:eastAsia="Times New Roman"/>
                <w:bCs/>
              </w:rPr>
              <w:t>.</w:t>
            </w:r>
            <w:r w:rsidR="00801A13">
              <w:rPr>
                <w:rFonts w:eastAsia="Times New Roman"/>
                <w:bCs/>
              </w:rPr>
              <w:t xml:space="preserve"> </w:t>
            </w:r>
          </w:p>
        </w:tc>
      </w:tr>
      <w:tr w:rsidR="00855090" w14:paraId="411F8CAE" w14:textId="77777777" w:rsidTr="00C14855">
        <w:tc>
          <w:tcPr>
            <w:tcW w:w="2405" w:type="dxa"/>
          </w:tcPr>
          <w:p w14:paraId="1DE2F010" w14:textId="52A4A912" w:rsidR="00855090" w:rsidRDefault="00855090" w:rsidP="004837C6">
            <w:pPr>
              <w:pStyle w:val="ListParagraph"/>
              <w:numPr>
                <w:ilvl w:val="0"/>
                <w:numId w:val="1"/>
              </w:numPr>
              <w:spacing w:before="60" w:after="60"/>
            </w:pPr>
            <w:r>
              <w:t>Revocation</w:t>
            </w:r>
          </w:p>
        </w:tc>
        <w:tc>
          <w:tcPr>
            <w:tcW w:w="6521" w:type="dxa"/>
          </w:tcPr>
          <w:p w14:paraId="7B007DBF" w14:textId="101C6EF5" w:rsidR="00F52C10" w:rsidRDefault="00E17611" w:rsidP="000D0CF3">
            <w:pPr>
              <w:spacing w:before="60" w:after="60"/>
              <w:jc w:val="both"/>
            </w:pPr>
            <w:r>
              <w:t xml:space="preserve">Membership to the </w:t>
            </w:r>
            <w:r w:rsidR="00F65F35" w:rsidRPr="00460F84">
              <w:rPr>
                <w:b/>
              </w:rPr>
              <w:t>Data Access Group</w:t>
            </w:r>
            <w:r w:rsidR="00F65F35">
              <w:rPr>
                <w:b/>
              </w:rPr>
              <w:t xml:space="preserve"> </w:t>
            </w:r>
            <w:r>
              <w:t>can be revoked for</w:t>
            </w:r>
            <w:r w:rsidR="00F52C10">
              <w:t>:</w:t>
            </w:r>
          </w:p>
          <w:p w14:paraId="624FCD89" w14:textId="06305962" w:rsidR="006B18A2" w:rsidRDefault="006B18A2" w:rsidP="000D0CF3">
            <w:pPr>
              <w:pStyle w:val="ListParagraph"/>
              <w:numPr>
                <w:ilvl w:val="0"/>
                <w:numId w:val="12"/>
              </w:numPr>
              <w:spacing w:before="60" w:after="60"/>
              <w:jc w:val="both"/>
            </w:pPr>
            <w:r>
              <w:t>On leaving the North West London Collaboration;</w:t>
            </w:r>
          </w:p>
          <w:p w14:paraId="3C3E396B" w14:textId="23B7EEC5" w:rsidR="00F52C10" w:rsidRDefault="00F52C10" w:rsidP="000D0CF3">
            <w:pPr>
              <w:pStyle w:val="ListParagraph"/>
              <w:numPr>
                <w:ilvl w:val="0"/>
                <w:numId w:val="12"/>
              </w:numPr>
              <w:spacing w:before="60" w:after="60"/>
              <w:jc w:val="both"/>
            </w:pPr>
            <w:r>
              <w:t>P</w:t>
            </w:r>
            <w:r w:rsidR="00E17611">
              <w:t>rofessional misconduct</w:t>
            </w:r>
            <w:r w:rsidR="00F65F35">
              <w:t>;</w:t>
            </w:r>
          </w:p>
          <w:p w14:paraId="2A07FCE5" w14:textId="77777777" w:rsidR="00D81F4B" w:rsidRDefault="00F52C10" w:rsidP="000D0CF3">
            <w:pPr>
              <w:pStyle w:val="ListParagraph"/>
              <w:numPr>
                <w:ilvl w:val="0"/>
                <w:numId w:val="12"/>
              </w:numPr>
              <w:spacing w:before="60" w:after="60"/>
              <w:jc w:val="both"/>
            </w:pPr>
            <w:r>
              <w:t>Representative/Organisational</w:t>
            </w:r>
            <w:r w:rsidR="0055184E">
              <w:t xml:space="preserve"> leaving the collaboration;</w:t>
            </w:r>
          </w:p>
          <w:p w14:paraId="7E4743EE" w14:textId="12199D40" w:rsidR="00855090" w:rsidRDefault="00D81F4B" w:rsidP="000D0CF3">
            <w:pPr>
              <w:pStyle w:val="ListParagraph"/>
              <w:numPr>
                <w:ilvl w:val="0"/>
                <w:numId w:val="12"/>
              </w:numPr>
              <w:spacing w:before="60" w:after="60"/>
              <w:jc w:val="both"/>
            </w:pPr>
            <w:r>
              <w:t>By a simple majority vote by the membership;</w:t>
            </w:r>
            <w:r w:rsidR="0055184E">
              <w:t xml:space="preserve"> </w:t>
            </w:r>
          </w:p>
          <w:p w14:paraId="26205311" w14:textId="44572442" w:rsidR="0055184E" w:rsidRDefault="0055184E" w:rsidP="000D0CF3">
            <w:pPr>
              <w:pStyle w:val="ListParagraph"/>
              <w:numPr>
                <w:ilvl w:val="0"/>
                <w:numId w:val="12"/>
              </w:numPr>
              <w:spacing w:before="60" w:after="60"/>
              <w:jc w:val="both"/>
            </w:pPr>
            <w:r>
              <w:t xml:space="preserve">Criminal charges. </w:t>
            </w:r>
          </w:p>
        </w:tc>
      </w:tr>
      <w:tr w:rsidR="00E17611" w14:paraId="4C54F437" w14:textId="77777777" w:rsidTr="00C14855">
        <w:tc>
          <w:tcPr>
            <w:tcW w:w="2405" w:type="dxa"/>
          </w:tcPr>
          <w:p w14:paraId="71F60C26" w14:textId="4266FA44" w:rsidR="00E17611" w:rsidRDefault="00E17611" w:rsidP="004837C6">
            <w:pPr>
              <w:pStyle w:val="ListParagraph"/>
              <w:numPr>
                <w:ilvl w:val="0"/>
                <w:numId w:val="1"/>
              </w:numPr>
              <w:spacing w:before="60" w:after="60"/>
            </w:pPr>
            <w:r>
              <w:t>Chair</w:t>
            </w:r>
          </w:p>
        </w:tc>
        <w:tc>
          <w:tcPr>
            <w:tcW w:w="6521" w:type="dxa"/>
          </w:tcPr>
          <w:p w14:paraId="79658BCF" w14:textId="5D245144" w:rsidR="00E17611" w:rsidRPr="00AA7434" w:rsidRDefault="00E17611" w:rsidP="00202D20">
            <w:pPr>
              <w:spacing w:before="60" w:after="60"/>
              <w:jc w:val="both"/>
            </w:pPr>
            <w:r w:rsidRPr="00AA7434">
              <w:t xml:space="preserve">The </w:t>
            </w:r>
            <w:r w:rsidR="001E25FE" w:rsidRPr="001E25FE">
              <w:rPr>
                <w:b/>
                <w:color w:val="000000" w:themeColor="text1"/>
              </w:rPr>
              <w:t>Data Access Group</w:t>
            </w:r>
            <w:r w:rsidR="00F51D19" w:rsidRPr="001E25FE">
              <w:rPr>
                <w:color w:val="000000" w:themeColor="text1"/>
              </w:rPr>
              <w:t xml:space="preserve"> </w:t>
            </w:r>
            <w:r w:rsidRPr="00AA7434">
              <w:t xml:space="preserve">shall appoint </w:t>
            </w:r>
            <w:r w:rsidR="00032320">
              <w:t>Co-</w:t>
            </w:r>
            <w:r w:rsidRPr="00AA7434">
              <w:t>Chair</w:t>
            </w:r>
            <w:r w:rsidR="00032320">
              <w:t>s</w:t>
            </w:r>
            <w:r w:rsidRPr="00AA7434">
              <w:t xml:space="preserve">, who </w:t>
            </w:r>
            <w:r w:rsidR="001E25FE">
              <w:t>must be</w:t>
            </w:r>
            <w:r w:rsidRPr="00AA7434">
              <w:t xml:space="preserve"> taken from amongst its membership.</w:t>
            </w:r>
            <w:r w:rsidR="00202D20">
              <w:t xml:space="preserve"> </w:t>
            </w:r>
            <w:r w:rsidRPr="00AA7434">
              <w:t xml:space="preserve">This position will be held on an </w:t>
            </w:r>
            <w:r w:rsidR="00202D20">
              <w:t>annual</w:t>
            </w:r>
            <w:r w:rsidRPr="00AA7434">
              <w:t xml:space="preserve"> basis as defined by the</w:t>
            </w:r>
            <w:r w:rsidR="00F52C10">
              <w:t xml:space="preserve"> group</w:t>
            </w:r>
            <w:r w:rsidRPr="00AA7434">
              <w:t xml:space="preserve">. </w:t>
            </w:r>
          </w:p>
          <w:p w14:paraId="47B172F1" w14:textId="77777777" w:rsidR="00E17611" w:rsidRPr="00AA7434" w:rsidRDefault="00E17611" w:rsidP="00E17611">
            <w:pPr>
              <w:spacing w:before="60" w:after="60"/>
            </w:pPr>
          </w:p>
          <w:p w14:paraId="7D93735F" w14:textId="446D4F5F" w:rsidR="00E17611" w:rsidRPr="00AA7434" w:rsidRDefault="00E17611" w:rsidP="00202D20">
            <w:pPr>
              <w:spacing w:before="60" w:after="60"/>
              <w:jc w:val="both"/>
            </w:pPr>
            <w:r w:rsidRPr="00AA7434">
              <w:lastRenderedPageBreak/>
              <w:t xml:space="preserve">The </w:t>
            </w:r>
            <w:r w:rsidR="00202D20" w:rsidRPr="001E25FE">
              <w:rPr>
                <w:b/>
                <w:color w:val="000000" w:themeColor="text1"/>
              </w:rPr>
              <w:t>Data Access Group</w:t>
            </w:r>
            <w:r w:rsidR="00202D20" w:rsidRPr="001E25FE">
              <w:rPr>
                <w:color w:val="000000" w:themeColor="text1"/>
              </w:rPr>
              <w:t xml:space="preserve"> </w:t>
            </w:r>
            <w:r w:rsidRPr="00AA7434">
              <w:t xml:space="preserve">will record in the meeting minutes who has been appointed to be its </w:t>
            </w:r>
            <w:r w:rsidR="00032320">
              <w:t>Co-</w:t>
            </w:r>
            <w:r w:rsidRPr="00AA7434">
              <w:t>Chair</w:t>
            </w:r>
            <w:r w:rsidR="00032320">
              <w:t>s</w:t>
            </w:r>
            <w:r w:rsidRPr="00AA7434">
              <w:t>.</w:t>
            </w:r>
          </w:p>
          <w:p w14:paraId="1CBDEBF7" w14:textId="77777777" w:rsidR="00E17611" w:rsidRPr="00AA7434" w:rsidRDefault="00E17611" w:rsidP="00E17611">
            <w:pPr>
              <w:spacing w:before="60" w:after="60"/>
            </w:pPr>
          </w:p>
          <w:p w14:paraId="3D121E4D" w14:textId="1F570AAC" w:rsidR="00E17611" w:rsidRPr="00AA7434" w:rsidRDefault="00E17611" w:rsidP="00202D20">
            <w:pPr>
              <w:spacing w:before="60" w:after="60"/>
              <w:jc w:val="both"/>
            </w:pPr>
            <w:r w:rsidRPr="00AA7434">
              <w:t xml:space="preserve">The </w:t>
            </w:r>
            <w:r w:rsidR="00202D20" w:rsidRPr="001E25FE">
              <w:rPr>
                <w:b/>
                <w:color w:val="000000" w:themeColor="text1"/>
              </w:rPr>
              <w:t>Data Access Group</w:t>
            </w:r>
            <w:r w:rsidR="00202D20" w:rsidRPr="001E25FE">
              <w:rPr>
                <w:color w:val="000000" w:themeColor="text1"/>
              </w:rPr>
              <w:t xml:space="preserve"> </w:t>
            </w:r>
            <w:r w:rsidRPr="00AA7434">
              <w:t xml:space="preserve">has appointed the </w:t>
            </w:r>
            <w:r w:rsidR="00032320">
              <w:t>Co-</w:t>
            </w:r>
            <w:r w:rsidRPr="00AA7434">
              <w:t>Chair</w:t>
            </w:r>
            <w:r w:rsidR="00032320">
              <w:t>s</w:t>
            </w:r>
            <w:r w:rsidRPr="00AA7434">
              <w:t xml:space="preserve"> to deal with urgent </w:t>
            </w:r>
            <w:r w:rsidR="00815C53">
              <w:t>requests</w:t>
            </w:r>
            <w:r w:rsidRPr="00AA7434">
              <w:t xml:space="preserve"> that arise between scheduled meetings </w:t>
            </w:r>
            <w:r w:rsidR="00D81F4B">
              <w:t xml:space="preserve">whilst </w:t>
            </w:r>
            <w:r w:rsidRPr="00AA7434">
              <w:t xml:space="preserve">noting that the </w:t>
            </w:r>
            <w:r w:rsidR="00F52C10">
              <w:t xml:space="preserve">group </w:t>
            </w:r>
            <w:r w:rsidR="00815C53">
              <w:t xml:space="preserve">has </w:t>
            </w:r>
            <w:r w:rsidRPr="00AA7434">
              <w:t>not</w:t>
            </w:r>
            <w:r w:rsidR="00815C53">
              <w:t xml:space="preserve"> fully </w:t>
            </w:r>
            <w:r w:rsidRPr="00AA7434">
              <w:t xml:space="preserve"> delegate decision-making responsibility</w:t>
            </w:r>
            <w:r w:rsidR="00D81F4B">
              <w:t xml:space="preserve"> to the chair unless it is urgent</w:t>
            </w:r>
            <w:r w:rsidRPr="00AA7434">
              <w:t xml:space="preserve">. Any urgent action taken by the </w:t>
            </w:r>
            <w:r w:rsidR="00032320">
              <w:t>Co-</w:t>
            </w:r>
            <w:r w:rsidRPr="00AA7434">
              <w:t>Chair</w:t>
            </w:r>
            <w:r w:rsidR="00032320">
              <w:t>s</w:t>
            </w:r>
            <w:r w:rsidRPr="00AA7434">
              <w:t xml:space="preserve"> must be considered and </w:t>
            </w:r>
            <w:r w:rsidR="00815C53">
              <w:t>can be reversed</w:t>
            </w:r>
            <w:r w:rsidRPr="00AA7434">
              <w:t xml:space="preserve"> by the </w:t>
            </w:r>
            <w:r w:rsidR="00815C53" w:rsidRPr="001E25FE">
              <w:rPr>
                <w:b/>
                <w:color w:val="000000" w:themeColor="text1"/>
              </w:rPr>
              <w:t>Data Access Group</w:t>
            </w:r>
            <w:r w:rsidR="00815C53" w:rsidRPr="001E25FE">
              <w:rPr>
                <w:color w:val="000000" w:themeColor="text1"/>
              </w:rPr>
              <w:t xml:space="preserve"> </w:t>
            </w:r>
            <w:r w:rsidRPr="00AA7434">
              <w:t xml:space="preserve">at the </w:t>
            </w:r>
            <w:r w:rsidR="00815C53">
              <w:t>next meeting</w:t>
            </w:r>
            <w:r w:rsidRPr="00AA7434">
              <w:t>.</w:t>
            </w:r>
          </w:p>
          <w:p w14:paraId="7B2132F5" w14:textId="77777777" w:rsidR="00E17611" w:rsidRPr="00AA7434" w:rsidRDefault="00E17611" w:rsidP="00E17611">
            <w:pPr>
              <w:spacing w:before="60" w:after="60"/>
            </w:pPr>
          </w:p>
          <w:p w14:paraId="43ACC9AE" w14:textId="1FB11305" w:rsidR="00E17611" w:rsidRPr="00AA7434" w:rsidRDefault="00E17611" w:rsidP="00D81F4B">
            <w:pPr>
              <w:spacing w:before="60" w:after="60"/>
              <w:jc w:val="both"/>
            </w:pPr>
            <w:r w:rsidRPr="00AA7434">
              <w:t xml:space="preserve">The </w:t>
            </w:r>
            <w:r w:rsidR="00032320">
              <w:t>Co-</w:t>
            </w:r>
            <w:r w:rsidRPr="00AA7434">
              <w:t>Chair</w:t>
            </w:r>
            <w:r w:rsidR="00032320">
              <w:t>s</w:t>
            </w:r>
            <w:r w:rsidRPr="00AA7434">
              <w:t xml:space="preserve"> will be responsible for agreeing the meeting agendas and priorities for each meeting. They will be responsible for ensuring that discussions are focused</w:t>
            </w:r>
            <w:r w:rsidR="00F52C10">
              <w:t>,</w:t>
            </w:r>
            <w:r w:rsidRPr="00AA7434">
              <w:t xml:space="preserve"> and </w:t>
            </w:r>
            <w:r w:rsidR="00491221">
              <w:t xml:space="preserve">all </w:t>
            </w:r>
            <w:r w:rsidRPr="00AA7434">
              <w:t>decisions are made</w:t>
            </w:r>
            <w:r w:rsidR="00D81F4B">
              <w:t xml:space="preserve"> in a timely manner. </w:t>
            </w:r>
          </w:p>
          <w:p w14:paraId="56C1E89C" w14:textId="77777777" w:rsidR="00E17611" w:rsidRPr="00AA7434" w:rsidRDefault="00E17611" w:rsidP="00E17611">
            <w:pPr>
              <w:spacing w:before="60" w:after="60"/>
            </w:pPr>
          </w:p>
          <w:p w14:paraId="073D0E29" w14:textId="0A590EE1" w:rsidR="00E17611" w:rsidRPr="00AA7434" w:rsidRDefault="00E17611" w:rsidP="00D81F4B">
            <w:pPr>
              <w:spacing w:before="60" w:after="60"/>
              <w:jc w:val="both"/>
            </w:pPr>
            <w:r w:rsidRPr="00AA7434">
              <w:t xml:space="preserve">A Deputy Chair </w:t>
            </w:r>
            <w:r w:rsidR="00D81F4B">
              <w:t>can</w:t>
            </w:r>
            <w:r w:rsidRPr="00AA7434">
              <w:t xml:space="preserve"> be appointed to undertake chairing responsibilities should the situation arise that the </w:t>
            </w:r>
            <w:r w:rsidR="00032320">
              <w:t>Co-</w:t>
            </w:r>
            <w:r w:rsidRPr="00AA7434">
              <w:t>Chair</w:t>
            </w:r>
            <w:r w:rsidR="00032320">
              <w:t>s</w:t>
            </w:r>
            <w:r w:rsidRPr="00AA7434">
              <w:t xml:space="preserve"> </w:t>
            </w:r>
            <w:r w:rsidR="00032320">
              <w:t>are</w:t>
            </w:r>
            <w:r w:rsidR="00D81F4B">
              <w:t xml:space="preserve"> </w:t>
            </w:r>
            <w:r w:rsidRPr="00AA7434">
              <w:t>not available.</w:t>
            </w:r>
          </w:p>
        </w:tc>
      </w:tr>
      <w:tr w:rsidR="004837C6" w14:paraId="0035E161" w14:textId="77777777" w:rsidTr="00C14855">
        <w:tc>
          <w:tcPr>
            <w:tcW w:w="2405" w:type="dxa"/>
          </w:tcPr>
          <w:p w14:paraId="7008CA1D" w14:textId="77777777" w:rsidR="004837C6" w:rsidRDefault="004837C6" w:rsidP="004837C6">
            <w:pPr>
              <w:pStyle w:val="ListParagraph"/>
              <w:numPr>
                <w:ilvl w:val="0"/>
                <w:numId w:val="1"/>
              </w:numPr>
              <w:spacing w:before="60" w:after="60"/>
            </w:pPr>
            <w:r>
              <w:lastRenderedPageBreak/>
              <w:t>Secretary</w:t>
            </w:r>
          </w:p>
        </w:tc>
        <w:tc>
          <w:tcPr>
            <w:tcW w:w="6521" w:type="dxa"/>
          </w:tcPr>
          <w:p w14:paraId="0DB787E3" w14:textId="77777777" w:rsidR="004837C6" w:rsidRDefault="004837C6" w:rsidP="00413981">
            <w:pPr>
              <w:spacing w:before="60" w:after="60"/>
              <w:jc w:val="both"/>
            </w:pPr>
            <w:r w:rsidRPr="00AA7434">
              <w:t xml:space="preserve">The </w:t>
            </w:r>
            <w:r w:rsidR="0013126E" w:rsidRPr="0013126E">
              <w:rPr>
                <w:b/>
                <w:color w:val="000000" w:themeColor="text1"/>
              </w:rPr>
              <w:t>Data Access Group</w:t>
            </w:r>
            <w:r w:rsidR="00F51D19" w:rsidRPr="0013126E">
              <w:rPr>
                <w:color w:val="000000" w:themeColor="text1"/>
              </w:rPr>
              <w:t xml:space="preserve"> </w:t>
            </w:r>
            <w:r w:rsidR="0013126E">
              <w:rPr>
                <w:color w:val="000000" w:themeColor="text1"/>
              </w:rPr>
              <w:t xml:space="preserve">has </w:t>
            </w:r>
            <w:r w:rsidRPr="00AA7434">
              <w:t>appoint</w:t>
            </w:r>
            <w:r w:rsidR="0013126E">
              <w:t>ed</w:t>
            </w:r>
            <w:r w:rsidRPr="00AA7434">
              <w:t xml:space="preserve"> </w:t>
            </w:r>
            <w:r w:rsidR="0013126E">
              <w:t xml:space="preserve">Imperial College Health Partners </w:t>
            </w:r>
            <w:r w:rsidR="00413981">
              <w:t xml:space="preserve">to </w:t>
            </w:r>
            <w:r w:rsidRPr="00AA7434">
              <w:t>provide secretariat services and receive and distribute communications on its behalf (the Secretary).</w:t>
            </w:r>
            <w:r w:rsidR="00463EAC" w:rsidRPr="00AA7434">
              <w:t xml:space="preserve"> </w:t>
            </w:r>
          </w:p>
          <w:p w14:paraId="6766D1A3" w14:textId="77777777" w:rsidR="00420297" w:rsidRDefault="00420297" w:rsidP="00413981">
            <w:pPr>
              <w:spacing w:before="60" w:after="60"/>
              <w:jc w:val="both"/>
            </w:pPr>
          </w:p>
          <w:p w14:paraId="7E39887B" w14:textId="43D80DAC" w:rsidR="00420297" w:rsidRPr="00AA7434" w:rsidRDefault="00420297" w:rsidP="00413981">
            <w:pPr>
              <w:spacing w:before="60" w:after="60"/>
              <w:jc w:val="both"/>
            </w:pPr>
            <w:r>
              <w:t xml:space="preserve">The Secretary will record the minutes of the meeting and attend meetings as required. He/she shall not have a vote </w:t>
            </w:r>
            <w:r w:rsidR="00483F33">
              <w:t xml:space="preserve">unless the role is carried out by a member of the </w:t>
            </w:r>
            <w:r w:rsidR="00483F33" w:rsidRPr="001E25FE">
              <w:rPr>
                <w:b/>
                <w:color w:val="000000" w:themeColor="text1"/>
              </w:rPr>
              <w:t>Data Access Group</w:t>
            </w:r>
            <w:r w:rsidR="00483F33">
              <w:rPr>
                <w:b/>
                <w:color w:val="000000" w:themeColor="text1"/>
              </w:rPr>
              <w:t xml:space="preserve">. </w:t>
            </w:r>
          </w:p>
        </w:tc>
      </w:tr>
      <w:tr w:rsidR="004837C6" w14:paraId="3AA8B5C4" w14:textId="77777777" w:rsidTr="00C14855">
        <w:tc>
          <w:tcPr>
            <w:tcW w:w="2405" w:type="dxa"/>
          </w:tcPr>
          <w:p w14:paraId="2E14021B" w14:textId="77777777" w:rsidR="004837C6" w:rsidRDefault="004837C6" w:rsidP="004837C6">
            <w:pPr>
              <w:pStyle w:val="ListParagraph"/>
              <w:numPr>
                <w:ilvl w:val="0"/>
                <w:numId w:val="1"/>
              </w:numPr>
              <w:spacing w:before="60" w:after="60"/>
            </w:pPr>
            <w:r>
              <w:t>Quorum</w:t>
            </w:r>
          </w:p>
        </w:tc>
        <w:tc>
          <w:tcPr>
            <w:tcW w:w="6521" w:type="dxa"/>
          </w:tcPr>
          <w:p w14:paraId="50A1A4AB" w14:textId="1EA92F09" w:rsidR="004837C6" w:rsidRDefault="004837C6" w:rsidP="00A0121C">
            <w:pPr>
              <w:spacing w:before="60" w:after="60"/>
              <w:jc w:val="both"/>
            </w:pPr>
            <w:r>
              <w:t xml:space="preserve">No business shall be transacted at any meeting of the </w:t>
            </w:r>
            <w:r w:rsidR="00A0121C" w:rsidRPr="001E25FE">
              <w:rPr>
                <w:b/>
                <w:color w:val="000000" w:themeColor="text1"/>
              </w:rPr>
              <w:t>Data Access Group</w:t>
            </w:r>
            <w:r w:rsidR="00A0121C">
              <w:t xml:space="preserve"> </w:t>
            </w:r>
            <w:r>
              <w:t>unless a quorum is present.</w:t>
            </w:r>
          </w:p>
          <w:p w14:paraId="64371AB2" w14:textId="77777777" w:rsidR="004837C6" w:rsidRDefault="004837C6" w:rsidP="004837C6">
            <w:pPr>
              <w:spacing w:before="60" w:after="60"/>
            </w:pPr>
          </w:p>
          <w:p w14:paraId="19B0F7D8" w14:textId="00CD7AB4" w:rsidR="004837C6" w:rsidRDefault="004837C6" w:rsidP="00A0121C">
            <w:pPr>
              <w:spacing w:before="60" w:after="60"/>
              <w:jc w:val="both"/>
            </w:pPr>
            <w:r>
              <w:t>A quorum is at least</w:t>
            </w:r>
            <w:r w:rsidR="00032320">
              <w:t xml:space="preserve"> four (4) data controller</w:t>
            </w:r>
            <w:r w:rsidR="00A0121C">
              <w:t xml:space="preserve"> </w:t>
            </w:r>
            <w:r w:rsidR="0087726D">
              <w:t>representatives</w:t>
            </w:r>
            <w:r w:rsidR="00032320">
              <w:t xml:space="preserve">, including a mandatory representation from Primary Care providers, this can be </w:t>
            </w:r>
            <w:r w:rsidR="00094184">
              <w:t xml:space="preserve">both virtual </w:t>
            </w:r>
            <w:r w:rsidR="00301D1F">
              <w:t>and</w:t>
            </w:r>
            <w:r w:rsidR="00094184">
              <w:t xml:space="preserve"> in person</w:t>
            </w:r>
            <w:r>
              <w:t>.</w:t>
            </w:r>
            <w:r w:rsidR="00A0121C">
              <w:t xml:space="preserve"> </w:t>
            </w:r>
            <w:r w:rsidRPr="00A0121C">
              <w:t>A proxy shall count towards the quorum.</w:t>
            </w:r>
            <w:r w:rsidR="00A0121C">
              <w:t xml:space="preserve"> </w:t>
            </w:r>
            <w:r>
              <w:t xml:space="preserve">The </w:t>
            </w:r>
            <w:r w:rsidR="00032320">
              <w:t>Co-</w:t>
            </w:r>
            <w:r>
              <w:t>Chair</w:t>
            </w:r>
            <w:r w:rsidR="00032320">
              <w:t>s, if relevant,</w:t>
            </w:r>
            <w:r>
              <w:t xml:space="preserve"> shall</w:t>
            </w:r>
            <w:r w:rsidR="00A0121C">
              <w:t xml:space="preserve"> also</w:t>
            </w:r>
            <w:r>
              <w:t xml:space="preserve"> count towards the quorum</w:t>
            </w:r>
            <w:r w:rsidR="00A0121C">
              <w:t>.</w:t>
            </w:r>
          </w:p>
          <w:p w14:paraId="3520DF87" w14:textId="77777777" w:rsidR="004837C6" w:rsidRDefault="004837C6" w:rsidP="004837C6">
            <w:pPr>
              <w:spacing w:before="60" w:after="60"/>
            </w:pPr>
          </w:p>
          <w:p w14:paraId="492C1183" w14:textId="22AEC4D1" w:rsidR="004837C6" w:rsidRDefault="004837C6" w:rsidP="00A0121C">
            <w:pPr>
              <w:spacing w:before="60" w:after="60"/>
              <w:jc w:val="both"/>
            </w:pPr>
            <w:r>
              <w:t>In the absence of the</w:t>
            </w:r>
            <w:r w:rsidR="00032320">
              <w:t xml:space="preserve"> Co-</w:t>
            </w:r>
            <w:r>
              <w:t>Chair</w:t>
            </w:r>
            <w:r w:rsidR="00032320">
              <w:t>s</w:t>
            </w:r>
            <w:r w:rsidR="00A0121C">
              <w:t xml:space="preserve"> being present at meeting, and if the </w:t>
            </w:r>
            <w:r w:rsidR="00032320">
              <w:t>Co-</w:t>
            </w:r>
            <w:r w:rsidR="00A0121C">
              <w:t>Chair</w:t>
            </w:r>
            <w:r w:rsidR="00032320">
              <w:t>s</w:t>
            </w:r>
            <w:r w:rsidR="00A0121C">
              <w:t xml:space="preserve"> ha</w:t>
            </w:r>
            <w:r w:rsidR="00032320">
              <w:t>ve</w:t>
            </w:r>
            <w:r w:rsidR="00A0121C">
              <w:t xml:space="preserve"> not nominated someone else as per paragraph 9, </w:t>
            </w:r>
            <w:r>
              <w:t xml:space="preserve">the </w:t>
            </w:r>
            <w:r w:rsidR="00916FEA">
              <w:t xml:space="preserve">group </w:t>
            </w:r>
            <w:r>
              <w:t xml:space="preserve">shall appoint </w:t>
            </w:r>
            <w:r w:rsidR="00A0121C">
              <w:t xml:space="preserve">a member present </w:t>
            </w:r>
            <w:r>
              <w:t xml:space="preserve">to </w:t>
            </w:r>
            <w:r w:rsidR="00A0121C">
              <w:t>act as the “C</w:t>
            </w:r>
            <w:r>
              <w:t>hair</w:t>
            </w:r>
            <w:r w:rsidR="00A0121C">
              <w:t>”</w:t>
            </w:r>
            <w:r>
              <w:t xml:space="preserve"> </w:t>
            </w:r>
            <w:r w:rsidR="00032320">
              <w:t xml:space="preserve">of </w:t>
            </w:r>
            <w:r>
              <w:t>the meeting.</w:t>
            </w:r>
          </w:p>
        </w:tc>
      </w:tr>
      <w:tr w:rsidR="004837C6" w14:paraId="35559A14" w14:textId="77777777" w:rsidTr="00C14855">
        <w:tc>
          <w:tcPr>
            <w:tcW w:w="2405" w:type="dxa"/>
          </w:tcPr>
          <w:p w14:paraId="7551FE9C" w14:textId="77777777" w:rsidR="004837C6" w:rsidRDefault="004837C6" w:rsidP="004837C6">
            <w:pPr>
              <w:pStyle w:val="ListParagraph"/>
              <w:numPr>
                <w:ilvl w:val="0"/>
                <w:numId w:val="1"/>
              </w:numPr>
              <w:spacing w:before="60" w:after="60"/>
            </w:pPr>
            <w:r>
              <w:t>Frequency of Meetings</w:t>
            </w:r>
          </w:p>
        </w:tc>
        <w:tc>
          <w:tcPr>
            <w:tcW w:w="6521" w:type="dxa"/>
          </w:tcPr>
          <w:p w14:paraId="65A1A1C7" w14:textId="2AFC5BB0" w:rsidR="004837C6" w:rsidRPr="00AA7434" w:rsidRDefault="004837C6" w:rsidP="00A0121C">
            <w:pPr>
              <w:spacing w:before="60" w:after="60"/>
              <w:jc w:val="both"/>
            </w:pPr>
            <w:r w:rsidRPr="00AA7434">
              <w:t xml:space="preserve">The </w:t>
            </w:r>
            <w:r w:rsidR="00A0121C" w:rsidRPr="001E25FE">
              <w:rPr>
                <w:b/>
                <w:color w:val="000000" w:themeColor="text1"/>
              </w:rPr>
              <w:t>Data Access Group</w:t>
            </w:r>
            <w:r w:rsidR="00A0121C" w:rsidRPr="00AA7434">
              <w:t xml:space="preserve"> </w:t>
            </w:r>
            <w:r w:rsidR="00463EAC" w:rsidRPr="00AA7434">
              <w:t xml:space="preserve">shall meet </w:t>
            </w:r>
            <w:r w:rsidR="00AA7434" w:rsidRPr="00AA7434">
              <w:t xml:space="preserve">at least </w:t>
            </w:r>
            <w:r w:rsidR="000E46E5">
              <w:t xml:space="preserve">every </w:t>
            </w:r>
            <w:r w:rsidR="00A0121C">
              <w:t xml:space="preserve">month (on the third Thursday of every calendar month) </w:t>
            </w:r>
            <w:r w:rsidRPr="00AA7434">
              <w:t xml:space="preserve">or at such other interval as the </w:t>
            </w:r>
            <w:r w:rsidR="00104FC2">
              <w:t>group</w:t>
            </w:r>
            <w:r w:rsidR="00F51D19">
              <w:t xml:space="preserve"> </w:t>
            </w:r>
            <w:r w:rsidR="00A0121C">
              <w:t xml:space="preserve">otherwise </w:t>
            </w:r>
            <w:r w:rsidRPr="00AA7434">
              <w:t>determine</w:t>
            </w:r>
            <w:r w:rsidR="00A0121C">
              <w:t xml:space="preserve"> if circumstances </w:t>
            </w:r>
            <w:r w:rsidR="00912E36">
              <w:t>demand</w:t>
            </w:r>
            <w:r w:rsidR="00A0121C">
              <w:t xml:space="preserve"> it</w:t>
            </w:r>
            <w:r w:rsidRPr="00AA7434">
              <w:t>.</w:t>
            </w:r>
            <w:r w:rsidR="00A0121C">
              <w:t xml:space="preserve"> </w:t>
            </w:r>
            <w:r w:rsidR="00463EAC" w:rsidRPr="00AA7434">
              <w:t xml:space="preserve">This can be carried out in person or virtually. </w:t>
            </w:r>
          </w:p>
          <w:p w14:paraId="04C839EB" w14:textId="77777777" w:rsidR="004837C6" w:rsidRPr="00AA7434" w:rsidRDefault="004837C6" w:rsidP="004837C6">
            <w:pPr>
              <w:spacing w:before="60" w:after="60"/>
            </w:pPr>
          </w:p>
          <w:p w14:paraId="1062B20F" w14:textId="0E69E1E8" w:rsidR="004837C6" w:rsidRDefault="004837C6" w:rsidP="00A0121C">
            <w:pPr>
              <w:spacing w:before="60" w:after="60"/>
              <w:jc w:val="both"/>
            </w:pPr>
            <w:r w:rsidRPr="00AA7434">
              <w:t xml:space="preserve">A special meeting may be called at any time by the Chair or by two-fifths of the members of the </w:t>
            </w:r>
            <w:r w:rsidR="00912E36" w:rsidRPr="001E25FE">
              <w:rPr>
                <w:b/>
                <w:color w:val="000000" w:themeColor="text1"/>
              </w:rPr>
              <w:t>Data Access Group</w:t>
            </w:r>
            <w:r w:rsidR="00912E36" w:rsidRPr="00AA7434">
              <w:t xml:space="preserve"> </w:t>
            </w:r>
            <w:r w:rsidRPr="00AA7434">
              <w:t xml:space="preserve">upon not less than </w:t>
            </w:r>
            <w:r w:rsidR="00DB42F9">
              <w:t>five</w:t>
            </w:r>
            <w:r w:rsidR="00912E36">
              <w:t xml:space="preserve"> (</w:t>
            </w:r>
            <w:r w:rsidR="00DB42F9">
              <w:t>5</w:t>
            </w:r>
            <w:r w:rsidR="00912E36">
              <w:t>)</w:t>
            </w:r>
            <w:r w:rsidRPr="00AA7434">
              <w:t xml:space="preserve"> days' notice being given to the other</w:t>
            </w:r>
            <w:r w:rsidR="00AD3BCC">
              <w:t xml:space="preserve"> </w:t>
            </w:r>
            <w:r w:rsidRPr="00AA7434">
              <w:t>members of the matters to be discussed.</w:t>
            </w:r>
          </w:p>
        </w:tc>
      </w:tr>
      <w:tr w:rsidR="004837C6" w14:paraId="6A7B5686" w14:textId="77777777" w:rsidTr="00C14855">
        <w:tc>
          <w:tcPr>
            <w:tcW w:w="2405" w:type="dxa"/>
          </w:tcPr>
          <w:p w14:paraId="3004C6AF" w14:textId="725B0B10" w:rsidR="004837C6" w:rsidRPr="00AA7434" w:rsidRDefault="004837C6" w:rsidP="004837C6">
            <w:pPr>
              <w:pStyle w:val="ListParagraph"/>
              <w:numPr>
                <w:ilvl w:val="0"/>
                <w:numId w:val="1"/>
              </w:numPr>
              <w:spacing w:before="60" w:after="60"/>
            </w:pPr>
            <w:r w:rsidRPr="00AA7434">
              <w:t xml:space="preserve">Operation of the </w:t>
            </w:r>
            <w:r w:rsidR="00943173" w:rsidRPr="001E25FE">
              <w:rPr>
                <w:b/>
                <w:color w:val="000000" w:themeColor="text1"/>
              </w:rPr>
              <w:t>Data Access Group</w:t>
            </w:r>
          </w:p>
        </w:tc>
        <w:tc>
          <w:tcPr>
            <w:tcW w:w="6521" w:type="dxa"/>
          </w:tcPr>
          <w:p w14:paraId="4247041C" w14:textId="2D5FD18C" w:rsidR="004837C6" w:rsidRPr="00AA7434" w:rsidRDefault="004837C6" w:rsidP="00943173">
            <w:pPr>
              <w:spacing w:before="60" w:after="60"/>
              <w:jc w:val="both"/>
            </w:pPr>
            <w:r w:rsidRPr="00AA7434">
              <w:t xml:space="preserve">The </w:t>
            </w:r>
            <w:r w:rsidR="00943173" w:rsidRPr="001E25FE">
              <w:rPr>
                <w:b/>
                <w:color w:val="000000" w:themeColor="text1"/>
              </w:rPr>
              <w:t>Data Access Group</w:t>
            </w:r>
            <w:r w:rsidR="00943173" w:rsidRPr="00AA7434">
              <w:t xml:space="preserve"> </w:t>
            </w:r>
            <w:r w:rsidRPr="00AA7434">
              <w:t xml:space="preserve">may </w:t>
            </w:r>
            <w:r w:rsidR="00DB42F9">
              <w:t xml:space="preserve">either </w:t>
            </w:r>
            <w:r w:rsidRPr="00AA7434">
              <w:t>regulate its own procedures s</w:t>
            </w:r>
            <w:r w:rsidR="001961BC" w:rsidRPr="00AA7434">
              <w:t>ubject to the provisions of these Terms of Reference</w:t>
            </w:r>
            <w:r w:rsidR="00DB42F9">
              <w:t xml:space="preserve"> or these may be </w:t>
            </w:r>
            <w:r w:rsidR="00DB42F9">
              <w:lastRenderedPageBreak/>
              <w:t xml:space="preserve">amended, altered or revoked by the </w:t>
            </w:r>
            <w:r w:rsidR="00DB42F9" w:rsidRPr="006B29D7">
              <w:rPr>
                <w:b/>
                <w:bCs/>
              </w:rPr>
              <w:t>NW London Digital Information Governance Board</w:t>
            </w:r>
            <w:r w:rsidRPr="00AA7434">
              <w:t>.</w:t>
            </w:r>
          </w:p>
          <w:p w14:paraId="39758C86" w14:textId="77777777" w:rsidR="004837C6" w:rsidRPr="00AA7434" w:rsidRDefault="004837C6" w:rsidP="004837C6">
            <w:pPr>
              <w:spacing w:before="60" w:after="60"/>
            </w:pPr>
          </w:p>
          <w:p w14:paraId="6D9CCF29" w14:textId="47550D83" w:rsidR="004837C6" w:rsidRPr="00AA7434" w:rsidRDefault="001E70CB" w:rsidP="00DB42F9">
            <w:pPr>
              <w:spacing w:before="60" w:after="60"/>
              <w:jc w:val="both"/>
            </w:pPr>
            <w:r>
              <w:t>If necessary, t</w:t>
            </w:r>
            <w:r w:rsidR="004837C6" w:rsidRPr="00AA7434">
              <w:t>he Secretary shall circulate</w:t>
            </w:r>
            <w:r w:rsidR="00DB42F9">
              <w:t>,</w:t>
            </w:r>
            <w:r w:rsidR="004837C6" w:rsidRPr="00AA7434">
              <w:t xml:space="preserve"> at </w:t>
            </w:r>
            <w:r w:rsidR="004837C6" w:rsidRPr="00AD3BCC">
              <w:t>least</w:t>
            </w:r>
            <w:r w:rsidR="00DB42F9">
              <w:t xml:space="preserve"> </w:t>
            </w:r>
            <w:r>
              <w:t xml:space="preserve">fourteen </w:t>
            </w:r>
            <w:r w:rsidR="00DB42F9">
              <w:t>(</w:t>
            </w:r>
            <w:r>
              <w:t>14</w:t>
            </w:r>
            <w:r w:rsidR="00DB42F9">
              <w:t xml:space="preserve">) </w:t>
            </w:r>
            <w:r w:rsidR="004837C6" w:rsidRPr="00AD3BCC">
              <w:t>days'</w:t>
            </w:r>
            <w:r w:rsidR="00DB42F9">
              <w:t xml:space="preserve"> before,</w:t>
            </w:r>
            <w:r w:rsidR="004837C6" w:rsidRPr="00AD3BCC">
              <w:t xml:space="preserve"> notice</w:t>
            </w:r>
            <w:r w:rsidR="004837C6" w:rsidRPr="00AA7434">
              <w:t xml:space="preserve"> of each meeting (other than a special meeting) stating the date, time and place of the meeting.</w:t>
            </w:r>
          </w:p>
          <w:p w14:paraId="33C459F9" w14:textId="77777777" w:rsidR="004837C6" w:rsidRPr="00AA7434" w:rsidRDefault="004837C6" w:rsidP="004837C6">
            <w:pPr>
              <w:spacing w:before="60" w:after="60"/>
            </w:pPr>
          </w:p>
          <w:p w14:paraId="0EBC6586" w14:textId="7C565A1E" w:rsidR="004837C6" w:rsidRPr="00AA7434" w:rsidRDefault="004837C6" w:rsidP="002554CE">
            <w:pPr>
              <w:spacing w:before="60" w:after="60"/>
              <w:jc w:val="both"/>
            </w:pPr>
            <w:r w:rsidRPr="00AA7434">
              <w:t xml:space="preserve">Any member wishing to place any item on the agenda for a meeting must provide details to the Secretary at least </w:t>
            </w:r>
            <w:r w:rsidR="002554CE">
              <w:t>ten (10)</w:t>
            </w:r>
            <w:r w:rsidR="000D5FE6" w:rsidRPr="00AD3BCC">
              <w:t xml:space="preserve"> </w:t>
            </w:r>
            <w:r w:rsidRPr="00AD3BCC">
              <w:t>days before the date of the meeting.</w:t>
            </w:r>
          </w:p>
          <w:p w14:paraId="6C8F84C4" w14:textId="77777777" w:rsidR="004837C6" w:rsidRPr="00AA7434" w:rsidRDefault="004837C6" w:rsidP="004837C6">
            <w:pPr>
              <w:spacing w:before="60" w:after="60"/>
            </w:pPr>
          </w:p>
          <w:p w14:paraId="58E55128" w14:textId="114FFE65" w:rsidR="004837C6" w:rsidRPr="00AA7434" w:rsidRDefault="004837C6" w:rsidP="002554CE">
            <w:pPr>
              <w:spacing w:before="60" w:after="60"/>
              <w:jc w:val="both"/>
            </w:pPr>
            <w:r w:rsidRPr="00AA7434">
              <w:t xml:space="preserve">The Secretary shall circulate the agenda and necessary materials for each </w:t>
            </w:r>
            <w:r w:rsidR="002554CE" w:rsidRPr="001E25FE">
              <w:rPr>
                <w:b/>
                <w:color w:val="000000" w:themeColor="text1"/>
              </w:rPr>
              <w:t>Data Access Group</w:t>
            </w:r>
            <w:r w:rsidR="002554CE" w:rsidRPr="00AA7434">
              <w:t xml:space="preserve"> </w:t>
            </w:r>
            <w:r w:rsidRPr="00AA7434">
              <w:t xml:space="preserve">meeting at least </w:t>
            </w:r>
            <w:r w:rsidR="001E70CB">
              <w:t>seven</w:t>
            </w:r>
            <w:r w:rsidR="002554CE">
              <w:t xml:space="preserve"> (</w:t>
            </w:r>
            <w:r w:rsidR="001E70CB">
              <w:t>7</w:t>
            </w:r>
            <w:r w:rsidR="002554CE">
              <w:t xml:space="preserve">) </w:t>
            </w:r>
            <w:r w:rsidRPr="00AD3BCC">
              <w:t>days before the meeting.</w:t>
            </w:r>
          </w:p>
          <w:p w14:paraId="70675268" w14:textId="77777777" w:rsidR="004837C6" w:rsidRPr="00AA7434" w:rsidRDefault="004837C6" w:rsidP="004837C6">
            <w:pPr>
              <w:spacing w:before="60" w:after="60"/>
            </w:pPr>
          </w:p>
          <w:p w14:paraId="46D148AE" w14:textId="3DA59623" w:rsidR="004837C6" w:rsidRPr="00AA7434" w:rsidRDefault="004837C6" w:rsidP="00E50A3C">
            <w:pPr>
              <w:spacing w:before="60" w:after="60"/>
              <w:jc w:val="both"/>
            </w:pPr>
            <w:r w:rsidRPr="00AA7434">
              <w:t xml:space="preserve">The Chair may permit individuals who are not members of the </w:t>
            </w:r>
            <w:r w:rsidR="00E50A3C" w:rsidRPr="001E25FE">
              <w:rPr>
                <w:b/>
                <w:color w:val="000000" w:themeColor="text1"/>
              </w:rPr>
              <w:t>Data Access Group</w:t>
            </w:r>
            <w:r w:rsidR="00E50A3C" w:rsidRPr="00AA7434">
              <w:t xml:space="preserve"> </w:t>
            </w:r>
            <w:r w:rsidRPr="00AA7434">
              <w:t xml:space="preserve">to attend and participate in any meeting or part of a meeting, but non-members may not </w:t>
            </w:r>
            <w:r w:rsidR="00E50A3C">
              <w:t>usually have vote in</w:t>
            </w:r>
            <w:r w:rsidRPr="00AA7434">
              <w:t xml:space="preserve"> decision-making.</w:t>
            </w:r>
            <w:r w:rsidR="00E50A3C">
              <w:t xml:space="preserve"> However, the Chair can decide, if the input of the attendees </w:t>
            </w:r>
            <w:r w:rsidR="0050078B">
              <w:t>is integral</w:t>
            </w:r>
            <w:r w:rsidR="00E50A3C">
              <w:t>, to allow him/her a vote</w:t>
            </w:r>
            <w:r w:rsidR="0050078B">
              <w:t xml:space="preserve"> in the decision making of an agenda item</w:t>
            </w:r>
            <w:r w:rsidR="00E50A3C">
              <w:t xml:space="preserve">.  </w:t>
            </w:r>
          </w:p>
          <w:p w14:paraId="65DE2070" w14:textId="77777777" w:rsidR="004837C6" w:rsidRPr="00AA7434" w:rsidRDefault="004837C6" w:rsidP="004837C6">
            <w:pPr>
              <w:spacing w:before="60" w:after="60"/>
            </w:pPr>
          </w:p>
          <w:p w14:paraId="158F51BD" w14:textId="330BD48B" w:rsidR="004837C6" w:rsidRPr="00AA7434" w:rsidRDefault="004837C6" w:rsidP="00E50A3C">
            <w:pPr>
              <w:spacing w:before="60" w:after="60"/>
              <w:jc w:val="both"/>
            </w:pPr>
            <w:r w:rsidRPr="00AA7434">
              <w:t xml:space="preserve">The Secretary shall keep minutes of the proceedings of any meeting of the </w:t>
            </w:r>
            <w:r w:rsidR="00E50A3C" w:rsidRPr="001E25FE">
              <w:rPr>
                <w:b/>
                <w:color w:val="000000" w:themeColor="text1"/>
              </w:rPr>
              <w:t>Data Access Group</w:t>
            </w:r>
            <w:r w:rsidR="00E50A3C" w:rsidRPr="00AA7434">
              <w:t xml:space="preserve"> </w:t>
            </w:r>
            <w:r w:rsidRPr="00AA7434">
              <w:t>and distribute minutes to all members.</w:t>
            </w:r>
            <w:r w:rsidR="000D5FE6">
              <w:t xml:space="preserve"> </w:t>
            </w:r>
          </w:p>
          <w:p w14:paraId="363F8C76" w14:textId="77777777" w:rsidR="004837C6" w:rsidRPr="00AA7434" w:rsidRDefault="004837C6" w:rsidP="00FF0400">
            <w:pPr>
              <w:spacing w:before="60" w:after="60"/>
              <w:jc w:val="both"/>
            </w:pPr>
          </w:p>
          <w:p w14:paraId="02517C46" w14:textId="1E2A9908" w:rsidR="00FF0400" w:rsidRDefault="004837C6" w:rsidP="00FF0400">
            <w:pPr>
              <w:spacing w:before="60" w:after="60"/>
              <w:jc w:val="both"/>
            </w:pPr>
            <w:r w:rsidRPr="00AA7434">
              <w:t xml:space="preserve">The </w:t>
            </w:r>
            <w:r w:rsidR="00FF0400" w:rsidRPr="001E25FE">
              <w:rPr>
                <w:b/>
                <w:color w:val="000000" w:themeColor="text1"/>
              </w:rPr>
              <w:t>Data Access Group</w:t>
            </w:r>
            <w:r w:rsidR="00FF0400" w:rsidRPr="00AA7434">
              <w:t xml:space="preserve"> </w:t>
            </w:r>
            <w:r w:rsidRPr="00AA7434">
              <w:t>may arrange for collective decision-making by exchange of emails outside of meetings as long as the Chair is satisfied that to do so is appropriate</w:t>
            </w:r>
            <w:r w:rsidR="00FF0400">
              <w:t xml:space="preserve">. In order to take place, the Chair must </w:t>
            </w:r>
            <w:r w:rsidR="0050078B">
              <w:t>ensure</w:t>
            </w:r>
            <w:r w:rsidR="00FF0400">
              <w:t xml:space="preserve"> the following: </w:t>
            </w:r>
          </w:p>
          <w:p w14:paraId="7B4B8460" w14:textId="77777777" w:rsidR="00FF0400" w:rsidRDefault="00FF0400" w:rsidP="00FF0400">
            <w:pPr>
              <w:pStyle w:val="ListParagraph"/>
              <w:numPr>
                <w:ilvl w:val="0"/>
                <w:numId w:val="19"/>
              </w:numPr>
              <w:spacing w:before="60" w:after="60"/>
              <w:jc w:val="both"/>
            </w:pPr>
            <w:r>
              <w:t xml:space="preserve">All </w:t>
            </w:r>
            <w:r w:rsidR="004837C6" w:rsidRPr="00AA7434">
              <w:t>members are contacted</w:t>
            </w:r>
            <w:r>
              <w:t xml:space="preserve">; </w:t>
            </w:r>
          </w:p>
          <w:p w14:paraId="5370D65A" w14:textId="77777777" w:rsidR="00FF0400" w:rsidRDefault="00FF0400" w:rsidP="00FF0400">
            <w:pPr>
              <w:pStyle w:val="ListParagraph"/>
              <w:numPr>
                <w:ilvl w:val="0"/>
                <w:numId w:val="19"/>
              </w:numPr>
              <w:spacing w:before="60" w:after="60"/>
              <w:jc w:val="both"/>
            </w:pPr>
            <w:r>
              <w:t>M</w:t>
            </w:r>
            <w:r w:rsidR="004837C6" w:rsidRPr="00AA7434">
              <w:t>ajority of them confirm agreement with the proposal under consideration</w:t>
            </w:r>
            <w:r>
              <w:t xml:space="preserve">; </w:t>
            </w:r>
          </w:p>
          <w:p w14:paraId="74BB9965" w14:textId="3676DD34" w:rsidR="004837C6" w:rsidRPr="00AA7434" w:rsidRDefault="00946A03" w:rsidP="0050078B">
            <w:pPr>
              <w:pStyle w:val="ListParagraph"/>
              <w:numPr>
                <w:ilvl w:val="0"/>
                <w:numId w:val="19"/>
              </w:numPr>
              <w:spacing w:before="60" w:after="60"/>
              <w:jc w:val="both"/>
            </w:pPr>
            <w:r w:rsidRPr="00AA7434">
              <w:t xml:space="preserve">Decisions </w:t>
            </w:r>
            <w:r w:rsidR="0050078B">
              <w:t xml:space="preserve">that are </w:t>
            </w:r>
            <w:r w:rsidRPr="00AA7434">
              <w:t xml:space="preserve">made virtually </w:t>
            </w:r>
            <w:r w:rsidR="0050078B">
              <w:t>are</w:t>
            </w:r>
            <w:r w:rsidRPr="00AA7434">
              <w:t xml:space="preserve"> formally documented at the next meeting. </w:t>
            </w:r>
          </w:p>
          <w:p w14:paraId="6FB0BE24" w14:textId="76BB4B1F" w:rsidR="004837C6" w:rsidRPr="00AA7434" w:rsidRDefault="00F45550" w:rsidP="0050078B">
            <w:pPr>
              <w:spacing w:before="60" w:after="60"/>
              <w:jc w:val="both"/>
            </w:pPr>
            <w:r>
              <w:t>If relevant, then t</w:t>
            </w:r>
            <w:r w:rsidR="004837C6" w:rsidRPr="00AA7434">
              <w:t xml:space="preserve">he </w:t>
            </w:r>
            <w:r w:rsidR="0050078B" w:rsidRPr="001E25FE">
              <w:rPr>
                <w:b/>
                <w:color w:val="000000" w:themeColor="text1"/>
              </w:rPr>
              <w:t>Data Access Group</w:t>
            </w:r>
            <w:r w:rsidR="0050078B" w:rsidRPr="00AA7434">
              <w:t xml:space="preserve"> </w:t>
            </w:r>
            <w:r w:rsidR="004837C6" w:rsidRPr="00AA7434">
              <w:t xml:space="preserve">may create and dissolve </w:t>
            </w:r>
            <w:r>
              <w:t>sub-</w:t>
            </w:r>
            <w:r w:rsidR="004837C6" w:rsidRPr="00AA7434">
              <w:t>committee</w:t>
            </w:r>
            <w:r>
              <w:t>(</w:t>
            </w:r>
            <w:r w:rsidR="004837C6" w:rsidRPr="00AA7434">
              <w:t>s</w:t>
            </w:r>
            <w:r>
              <w:t>)</w:t>
            </w:r>
            <w:r w:rsidR="004837C6" w:rsidRPr="00AA7434">
              <w:t xml:space="preserve"> of its members and/or and shall determine the terms of reference and of any such </w:t>
            </w:r>
            <w:r>
              <w:t>sub-</w:t>
            </w:r>
            <w:r w:rsidR="004837C6" w:rsidRPr="00AA7434">
              <w:t>committee</w:t>
            </w:r>
            <w:r>
              <w:t>(s)</w:t>
            </w:r>
            <w:r w:rsidR="004837C6" w:rsidRPr="00AA7434">
              <w:t>.</w:t>
            </w:r>
          </w:p>
        </w:tc>
      </w:tr>
      <w:tr w:rsidR="004837C6" w14:paraId="165E9713" w14:textId="77777777" w:rsidTr="00C14855">
        <w:tc>
          <w:tcPr>
            <w:tcW w:w="2405" w:type="dxa"/>
          </w:tcPr>
          <w:p w14:paraId="18B33ECE" w14:textId="77777777" w:rsidR="004837C6" w:rsidRPr="00AA7434" w:rsidRDefault="004837C6" w:rsidP="004837C6">
            <w:pPr>
              <w:pStyle w:val="ListParagraph"/>
              <w:numPr>
                <w:ilvl w:val="0"/>
                <w:numId w:val="1"/>
              </w:numPr>
              <w:spacing w:before="60" w:after="60"/>
            </w:pPr>
            <w:r w:rsidRPr="00AA7434">
              <w:lastRenderedPageBreak/>
              <w:t xml:space="preserve">Duties: </w:t>
            </w:r>
          </w:p>
          <w:p w14:paraId="2F7D1C6F" w14:textId="77777777" w:rsidR="004837C6" w:rsidRPr="00AA7434" w:rsidRDefault="004837C6" w:rsidP="004837C6">
            <w:pPr>
              <w:pStyle w:val="ListParagraph"/>
              <w:spacing w:before="60" w:after="60"/>
              <w:ind w:left="360"/>
            </w:pPr>
            <w:r w:rsidRPr="00AA7434">
              <w:t>Decision Making</w:t>
            </w:r>
          </w:p>
        </w:tc>
        <w:tc>
          <w:tcPr>
            <w:tcW w:w="6521" w:type="dxa"/>
          </w:tcPr>
          <w:p w14:paraId="2C4E2396" w14:textId="6783CB2C" w:rsidR="0087726D" w:rsidRDefault="00AD3BCC" w:rsidP="00002F71">
            <w:pPr>
              <w:pStyle w:val="Default"/>
              <w:spacing w:before="60" w:after="60"/>
              <w:jc w:val="both"/>
              <w:rPr>
                <w:color w:val="auto"/>
                <w:sz w:val="22"/>
              </w:rPr>
            </w:pPr>
            <w:r>
              <w:rPr>
                <w:color w:val="auto"/>
                <w:sz w:val="22"/>
              </w:rPr>
              <w:t xml:space="preserve">The </w:t>
            </w:r>
            <w:r w:rsidR="00604A3C">
              <w:rPr>
                <w:b/>
                <w:bCs/>
                <w:color w:val="auto"/>
                <w:sz w:val="22"/>
              </w:rPr>
              <w:t xml:space="preserve">Data Access </w:t>
            </w:r>
            <w:r w:rsidR="00002F71" w:rsidRPr="00460F84">
              <w:rPr>
                <w:rFonts w:asciiTheme="minorHAnsi" w:hAnsiTheme="minorHAnsi" w:cstheme="minorBidi"/>
                <w:b/>
                <w:color w:val="auto"/>
                <w:sz w:val="22"/>
                <w:szCs w:val="22"/>
              </w:rPr>
              <w:t>Group</w:t>
            </w:r>
            <w:r w:rsidR="00002F71">
              <w:rPr>
                <w:b/>
              </w:rPr>
              <w:t xml:space="preserve"> </w:t>
            </w:r>
            <w:r w:rsidR="0087726D" w:rsidRPr="0087726D">
              <w:rPr>
                <w:color w:val="auto"/>
                <w:sz w:val="22"/>
              </w:rPr>
              <w:t xml:space="preserve">may make </w:t>
            </w:r>
            <w:r w:rsidR="001E25FE">
              <w:rPr>
                <w:color w:val="auto"/>
                <w:sz w:val="22"/>
              </w:rPr>
              <w:t>all its</w:t>
            </w:r>
            <w:r w:rsidR="0087726D" w:rsidRPr="0087726D">
              <w:rPr>
                <w:color w:val="auto"/>
                <w:sz w:val="22"/>
              </w:rPr>
              <w:t xml:space="preserve"> decisions by consensus of the majority of </w:t>
            </w:r>
            <w:r>
              <w:rPr>
                <w:color w:val="auto"/>
                <w:sz w:val="22"/>
              </w:rPr>
              <w:t>those</w:t>
            </w:r>
            <w:r w:rsidR="0087726D" w:rsidRPr="0087726D">
              <w:rPr>
                <w:color w:val="auto"/>
                <w:sz w:val="22"/>
              </w:rPr>
              <w:t xml:space="preserve"> attending </w:t>
            </w:r>
            <w:r>
              <w:rPr>
                <w:color w:val="auto"/>
                <w:sz w:val="22"/>
              </w:rPr>
              <w:t>the</w:t>
            </w:r>
            <w:r w:rsidR="00F51D19" w:rsidRPr="00AD3BCC">
              <w:rPr>
                <w:b/>
                <w:color w:val="0070C0"/>
                <w:sz w:val="22"/>
              </w:rPr>
              <w:t xml:space="preserve"> </w:t>
            </w:r>
            <w:r w:rsidR="0087726D" w:rsidRPr="0087726D">
              <w:rPr>
                <w:color w:val="auto"/>
                <w:sz w:val="22"/>
              </w:rPr>
              <w:t>meeting</w:t>
            </w:r>
            <w:r>
              <w:rPr>
                <w:color w:val="auto"/>
                <w:sz w:val="22"/>
              </w:rPr>
              <w:t xml:space="preserve">, </w:t>
            </w:r>
            <w:r w:rsidRPr="0087726D">
              <w:rPr>
                <w:color w:val="auto"/>
                <w:sz w:val="22"/>
              </w:rPr>
              <w:t>if</w:t>
            </w:r>
            <w:r w:rsidR="0087726D" w:rsidRPr="0087726D">
              <w:rPr>
                <w:color w:val="auto"/>
                <w:sz w:val="22"/>
              </w:rPr>
              <w:t xml:space="preserve"> </w:t>
            </w:r>
            <w:r>
              <w:rPr>
                <w:color w:val="auto"/>
                <w:sz w:val="22"/>
              </w:rPr>
              <w:t>there is quoracy</w:t>
            </w:r>
            <w:r w:rsidR="0087726D" w:rsidRPr="0087726D">
              <w:rPr>
                <w:color w:val="auto"/>
                <w:sz w:val="22"/>
              </w:rPr>
              <w:t>. Before any decision</w:t>
            </w:r>
            <w:r>
              <w:rPr>
                <w:color w:val="auto"/>
                <w:sz w:val="22"/>
              </w:rPr>
              <w:t xml:space="preserve">s </w:t>
            </w:r>
            <w:r w:rsidR="0087726D" w:rsidRPr="0087726D">
              <w:rPr>
                <w:color w:val="auto"/>
                <w:sz w:val="22"/>
              </w:rPr>
              <w:t>are taken, those taking the decision shall satisfy themselves that they are authorised to do so.</w:t>
            </w:r>
          </w:p>
          <w:p w14:paraId="3B3743EB" w14:textId="77777777" w:rsidR="0087726D" w:rsidRPr="0087726D" w:rsidRDefault="0087726D" w:rsidP="00002F71">
            <w:pPr>
              <w:pStyle w:val="Default"/>
              <w:spacing w:before="60" w:after="60"/>
              <w:jc w:val="both"/>
              <w:rPr>
                <w:color w:val="auto"/>
                <w:sz w:val="22"/>
              </w:rPr>
            </w:pPr>
          </w:p>
          <w:p w14:paraId="58CB9D4E" w14:textId="288EBEB5" w:rsidR="001E25FE" w:rsidRPr="0087726D" w:rsidRDefault="0087726D" w:rsidP="00002F71">
            <w:pPr>
              <w:pStyle w:val="Default"/>
              <w:spacing w:before="60" w:after="60"/>
              <w:jc w:val="both"/>
              <w:rPr>
                <w:color w:val="auto"/>
                <w:sz w:val="22"/>
              </w:rPr>
            </w:pPr>
            <w:r w:rsidRPr="0087726D">
              <w:rPr>
                <w:color w:val="auto"/>
                <w:sz w:val="22"/>
              </w:rPr>
              <w:t>If consensus on any decision cannot be reached, and unless the</w:t>
            </w:r>
            <w:r w:rsidR="00604A3C">
              <w:rPr>
                <w:color w:val="auto"/>
                <w:sz w:val="22"/>
              </w:rPr>
              <w:t xml:space="preserve"> </w:t>
            </w:r>
            <w:r w:rsidR="00002F71" w:rsidRPr="00460F84">
              <w:rPr>
                <w:rFonts w:asciiTheme="minorHAnsi" w:hAnsiTheme="minorHAnsi" w:cstheme="minorBidi"/>
                <w:b/>
                <w:color w:val="auto"/>
                <w:sz w:val="22"/>
                <w:szCs w:val="22"/>
              </w:rPr>
              <w:t>Data Access Group</w:t>
            </w:r>
            <w:r w:rsidR="00F51D19" w:rsidRPr="00AD3BCC">
              <w:rPr>
                <w:b/>
                <w:color w:val="0070C0"/>
                <w:sz w:val="22"/>
              </w:rPr>
              <w:t xml:space="preserve"> </w:t>
            </w:r>
            <w:r w:rsidRPr="0087726D">
              <w:rPr>
                <w:color w:val="auto"/>
                <w:sz w:val="22"/>
              </w:rPr>
              <w:t>decides otherwise, its decisions shall be taken by a simple majority</w:t>
            </w:r>
            <w:r w:rsidR="00F335C0">
              <w:rPr>
                <w:color w:val="auto"/>
                <w:sz w:val="22"/>
              </w:rPr>
              <w:t xml:space="preserve"> and when there is a tie then</w:t>
            </w:r>
            <w:r w:rsidRPr="0087726D">
              <w:rPr>
                <w:color w:val="auto"/>
                <w:sz w:val="22"/>
              </w:rPr>
              <w:t xml:space="preserve"> the Chair (or in their absence the </w:t>
            </w:r>
            <w:r w:rsidR="00544C29">
              <w:rPr>
                <w:color w:val="auto"/>
                <w:sz w:val="22"/>
              </w:rPr>
              <w:t xml:space="preserve"> appointed </w:t>
            </w:r>
            <w:r w:rsidR="00F335C0">
              <w:rPr>
                <w:color w:val="auto"/>
                <w:sz w:val="22"/>
              </w:rPr>
              <w:t>Deputy</w:t>
            </w:r>
            <w:r w:rsidR="00301D1F">
              <w:rPr>
                <w:color w:val="auto"/>
                <w:sz w:val="22"/>
              </w:rPr>
              <w:t xml:space="preserve"> </w:t>
            </w:r>
            <w:r w:rsidRPr="0087726D">
              <w:rPr>
                <w:color w:val="auto"/>
                <w:sz w:val="22"/>
              </w:rPr>
              <w:t xml:space="preserve">Chair) has a casting vote. </w:t>
            </w:r>
          </w:p>
        </w:tc>
      </w:tr>
      <w:tr w:rsidR="004837C6" w14:paraId="6FB332F6" w14:textId="77777777" w:rsidTr="00C14855">
        <w:tc>
          <w:tcPr>
            <w:tcW w:w="2405" w:type="dxa"/>
          </w:tcPr>
          <w:p w14:paraId="45D6704B" w14:textId="77777777" w:rsidR="004837C6" w:rsidRPr="00AA7434" w:rsidRDefault="004837C6" w:rsidP="004837C6">
            <w:pPr>
              <w:pStyle w:val="ListParagraph"/>
              <w:numPr>
                <w:ilvl w:val="0"/>
                <w:numId w:val="1"/>
              </w:numPr>
              <w:spacing w:before="60" w:after="60"/>
            </w:pPr>
            <w:r w:rsidRPr="00AA7434">
              <w:lastRenderedPageBreak/>
              <w:t>Duties:</w:t>
            </w:r>
          </w:p>
          <w:p w14:paraId="4E9ED685" w14:textId="77777777" w:rsidR="004837C6" w:rsidRPr="00AA7434" w:rsidRDefault="004837C6" w:rsidP="004837C6">
            <w:pPr>
              <w:pStyle w:val="ListParagraph"/>
              <w:spacing w:before="60" w:after="60"/>
              <w:ind w:left="360"/>
            </w:pPr>
            <w:r w:rsidRPr="00AA7434">
              <w:t>Powers and Responsibility</w:t>
            </w:r>
          </w:p>
        </w:tc>
        <w:tc>
          <w:tcPr>
            <w:tcW w:w="6521" w:type="dxa"/>
          </w:tcPr>
          <w:p w14:paraId="2728925E" w14:textId="22C6D1A4" w:rsidR="00755336" w:rsidRDefault="00755336" w:rsidP="00755336">
            <w:pPr>
              <w:pStyle w:val="Default"/>
              <w:spacing w:before="60" w:after="60"/>
              <w:jc w:val="both"/>
              <w:rPr>
                <w:color w:val="auto"/>
                <w:sz w:val="22"/>
              </w:rPr>
            </w:pPr>
            <w:r>
              <w:rPr>
                <w:color w:val="auto"/>
                <w:sz w:val="22"/>
              </w:rPr>
              <w:t xml:space="preserve">When considering any application to access any data, members of the </w:t>
            </w:r>
            <w:r>
              <w:rPr>
                <w:b/>
                <w:bCs/>
                <w:color w:val="auto"/>
                <w:sz w:val="22"/>
              </w:rPr>
              <w:t xml:space="preserve">Data Access Group </w:t>
            </w:r>
            <w:r>
              <w:rPr>
                <w:color w:val="auto"/>
                <w:sz w:val="22"/>
              </w:rPr>
              <w:t xml:space="preserve">must ensure that each application would comply with </w:t>
            </w:r>
            <w:r w:rsidR="00FD3D07">
              <w:rPr>
                <w:color w:val="auto"/>
                <w:sz w:val="22"/>
              </w:rPr>
              <w:t xml:space="preserve">all data protection </w:t>
            </w:r>
            <w:r w:rsidR="00900A25">
              <w:rPr>
                <w:color w:val="auto"/>
                <w:sz w:val="22"/>
              </w:rPr>
              <w:t>legislation</w:t>
            </w:r>
            <w:r w:rsidR="00FD3D07">
              <w:rPr>
                <w:color w:val="auto"/>
                <w:sz w:val="22"/>
              </w:rPr>
              <w:t xml:space="preserve"> and more specifically the </w:t>
            </w:r>
            <w:r>
              <w:rPr>
                <w:color w:val="auto"/>
                <w:sz w:val="22"/>
              </w:rPr>
              <w:t xml:space="preserve">following GDPR articles relating to </w:t>
            </w:r>
            <w:r w:rsidR="00835B25">
              <w:rPr>
                <w:color w:val="auto"/>
                <w:sz w:val="22"/>
              </w:rPr>
              <w:t xml:space="preserve">lawfulness and </w:t>
            </w:r>
            <w:r>
              <w:rPr>
                <w:color w:val="auto"/>
                <w:sz w:val="22"/>
              </w:rPr>
              <w:t xml:space="preserve">security: </w:t>
            </w:r>
          </w:p>
          <w:p w14:paraId="5A83D81E" w14:textId="77777777" w:rsidR="00755336" w:rsidRDefault="00755336" w:rsidP="00755336">
            <w:pPr>
              <w:pStyle w:val="Default"/>
              <w:spacing w:before="60" w:after="60"/>
              <w:jc w:val="both"/>
              <w:rPr>
                <w:color w:val="auto"/>
                <w:sz w:val="22"/>
              </w:rPr>
            </w:pPr>
          </w:p>
          <w:p w14:paraId="0F06EB0A" w14:textId="77777777" w:rsidR="00755336" w:rsidRDefault="00755336" w:rsidP="00E900A8">
            <w:pPr>
              <w:pStyle w:val="ListParagraph"/>
              <w:numPr>
                <w:ilvl w:val="0"/>
                <w:numId w:val="6"/>
              </w:numPr>
              <w:jc w:val="both"/>
              <w:rPr>
                <w:rFonts w:ascii="Calibri" w:hAnsi="Calibri" w:cs="Calibri"/>
                <w:szCs w:val="24"/>
              </w:rPr>
            </w:pPr>
            <w:r>
              <w:rPr>
                <w:rFonts w:ascii="Calibri" w:hAnsi="Calibri" w:cs="Calibri"/>
                <w:szCs w:val="24"/>
              </w:rPr>
              <w:t xml:space="preserve">Article 5(1)(f) - </w:t>
            </w:r>
            <w:r w:rsidRPr="00036256">
              <w:rPr>
                <w:rFonts w:ascii="Calibri" w:hAnsi="Calibri" w:cs="Calibri"/>
                <w:szCs w:val="24"/>
              </w:rPr>
              <w:t xml:space="preserve">ensures appropriate security of the data, including protection against unauthorised or unlawful processing and against accidental loss, destruction or damage, </w:t>
            </w:r>
            <w:r>
              <w:rPr>
                <w:rFonts w:ascii="Calibri" w:hAnsi="Calibri" w:cs="Calibri"/>
                <w:szCs w:val="24"/>
              </w:rPr>
              <w:t xml:space="preserve">by ensuring the requester </w:t>
            </w:r>
            <w:r w:rsidRPr="00036256">
              <w:rPr>
                <w:rFonts w:ascii="Calibri" w:hAnsi="Calibri" w:cs="Calibri"/>
                <w:szCs w:val="24"/>
              </w:rPr>
              <w:t>us</w:t>
            </w:r>
            <w:r>
              <w:rPr>
                <w:rFonts w:ascii="Calibri" w:hAnsi="Calibri" w:cs="Calibri"/>
                <w:szCs w:val="24"/>
              </w:rPr>
              <w:t>es</w:t>
            </w:r>
            <w:r w:rsidRPr="00036256">
              <w:rPr>
                <w:rFonts w:ascii="Calibri" w:hAnsi="Calibri" w:cs="Calibri"/>
                <w:szCs w:val="24"/>
              </w:rPr>
              <w:t xml:space="preserve"> appropriate technical or organisational measures (‘integrity and confidentiality’)</w:t>
            </w:r>
            <w:r>
              <w:rPr>
                <w:rFonts w:ascii="Calibri" w:hAnsi="Calibri" w:cs="Calibri"/>
                <w:szCs w:val="24"/>
              </w:rPr>
              <w:t>;</w:t>
            </w:r>
          </w:p>
          <w:p w14:paraId="1773A6F1" w14:textId="77777777" w:rsidR="00755336" w:rsidRDefault="00755336" w:rsidP="00755336">
            <w:pPr>
              <w:pStyle w:val="ListParagraph"/>
              <w:jc w:val="both"/>
              <w:rPr>
                <w:rFonts w:ascii="Calibri" w:hAnsi="Calibri" w:cs="Calibri"/>
                <w:szCs w:val="24"/>
              </w:rPr>
            </w:pPr>
          </w:p>
          <w:p w14:paraId="5B495401" w14:textId="02FB7552" w:rsidR="00755336" w:rsidRDefault="00755336" w:rsidP="00E900A8">
            <w:pPr>
              <w:pStyle w:val="ListParagraph"/>
              <w:numPr>
                <w:ilvl w:val="0"/>
                <w:numId w:val="6"/>
              </w:numPr>
              <w:jc w:val="both"/>
              <w:rPr>
                <w:rFonts w:ascii="Calibri" w:hAnsi="Calibri" w:cs="Calibri"/>
                <w:szCs w:val="24"/>
              </w:rPr>
            </w:pPr>
            <w:r>
              <w:rPr>
                <w:rFonts w:ascii="Calibri" w:hAnsi="Calibri" w:cs="Calibri"/>
                <w:szCs w:val="24"/>
              </w:rPr>
              <w:t xml:space="preserve">Article 32 – </w:t>
            </w:r>
            <w:r w:rsidRPr="00B001E0">
              <w:rPr>
                <w:rFonts w:ascii="Calibri" w:hAnsi="Calibri" w:cs="Calibri"/>
                <w:szCs w:val="24"/>
              </w:rPr>
              <w:t xml:space="preserve">Taking into account the state of the art, the costs of implementation and the nature, scope, context and purposes of processing as well as the risk of varying likelihood and severity for the rights and freedoms of natural persons, the </w:t>
            </w:r>
            <w:r>
              <w:rPr>
                <w:rFonts w:ascii="Calibri" w:hAnsi="Calibri" w:cs="Calibri"/>
                <w:szCs w:val="24"/>
              </w:rPr>
              <w:t>requester of the data</w:t>
            </w:r>
            <w:r w:rsidRPr="00B001E0">
              <w:rPr>
                <w:rFonts w:ascii="Calibri" w:hAnsi="Calibri" w:cs="Calibri"/>
                <w:szCs w:val="24"/>
              </w:rPr>
              <w:t xml:space="preserve"> shall implement appropriate technical and organisational measures to ensure a level of security appropriate to the ris</w:t>
            </w:r>
            <w:r>
              <w:rPr>
                <w:rFonts w:ascii="Calibri" w:hAnsi="Calibri" w:cs="Calibri"/>
                <w:szCs w:val="24"/>
              </w:rPr>
              <w:t>k</w:t>
            </w:r>
            <w:r w:rsidR="00835B25">
              <w:rPr>
                <w:rFonts w:ascii="Calibri" w:hAnsi="Calibri" w:cs="Calibri"/>
                <w:szCs w:val="24"/>
              </w:rPr>
              <w:t xml:space="preserve">; </w:t>
            </w:r>
          </w:p>
          <w:p w14:paraId="71BC5A89" w14:textId="77777777" w:rsidR="00835B25" w:rsidRPr="00835B25" w:rsidRDefault="00835B25" w:rsidP="00835B25">
            <w:pPr>
              <w:pStyle w:val="ListParagraph"/>
              <w:rPr>
                <w:rFonts w:ascii="Calibri" w:hAnsi="Calibri" w:cs="Calibri"/>
                <w:szCs w:val="24"/>
              </w:rPr>
            </w:pPr>
          </w:p>
          <w:p w14:paraId="03D08649" w14:textId="4CFCC0DF" w:rsidR="00835B25" w:rsidRDefault="009A2870" w:rsidP="00E900A8">
            <w:pPr>
              <w:pStyle w:val="ListParagraph"/>
              <w:numPr>
                <w:ilvl w:val="0"/>
                <w:numId w:val="6"/>
              </w:numPr>
              <w:jc w:val="both"/>
              <w:rPr>
                <w:rFonts w:ascii="Calibri" w:hAnsi="Calibri" w:cs="Calibri"/>
                <w:szCs w:val="24"/>
              </w:rPr>
            </w:pPr>
            <w:r>
              <w:rPr>
                <w:rFonts w:ascii="Calibri" w:hAnsi="Calibri" w:cs="Calibri"/>
                <w:szCs w:val="24"/>
              </w:rPr>
              <w:t xml:space="preserve">Article 35 - </w:t>
            </w:r>
            <w:r w:rsidR="00835B25">
              <w:rPr>
                <w:rFonts w:ascii="Calibri" w:hAnsi="Calibri" w:cs="Calibri"/>
                <w:szCs w:val="24"/>
              </w:rPr>
              <w:t xml:space="preserve">Whether the nature and the scope of the request would likely to result in high risk </w:t>
            </w:r>
            <w:r>
              <w:rPr>
                <w:rFonts w:ascii="Calibri" w:hAnsi="Calibri" w:cs="Calibri"/>
                <w:szCs w:val="24"/>
              </w:rPr>
              <w:t xml:space="preserve">to the rights and freedoms of the data subjects. In these cases, a Data Protection Impact Assessment (DPIA) must be completed and submitted before </w:t>
            </w:r>
            <w:r w:rsidR="005A1911">
              <w:rPr>
                <w:rFonts w:ascii="Calibri" w:hAnsi="Calibri" w:cs="Calibri"/>
                <w:szCs w:val="24"/>
              </w:rPr>
              <w:t>a</w:t>
            </w:r>
            <w:r>
              <w:rPr>
                <w:rFonts w:ascii="Calibri" w:hAnsi="Calibri" w:cs="Calibri"/>
                <w:szCs w:val="24"/>
              </w:rPr>
              <w:t xml:space="preserve"> request </w:t>
            </w:r>
            <w:r w:rsidR="005A1911">
              <w:rPr>
                <w:rFonts w:ascii="Calibri" w:hAnsi="Calibri" w:cs="Calibri"/>
                <w:szCs w:val="24"/>
              </w:rPr>
              <w:t xml:space="preserve">should </w:t>
            </w:r>
            <w:r>
              <w:rPr>
                <w:rFonts w:ascii="Calibri" w:hAnsi="Calibri" w:cs="Calibri"/>
                <w:szCs w:val="24"/>
              </w:rPr>
              <w:t xml:space="preserve">be approved. </w:t>
            </w:r>
          </w:p>
          <w:p w14:paraId="3777C28E" w14:textId="77777777" w:rsidR="00755336" w:rsidRPr="00755336" w:rsidRDefault="00755336" w:rsidP="00755336">
            <w:pPr>
              <w:jc w:val="both"/>
              <w:rPr>
                <w:rFonts w:ascii="Calibri" w:hAnsi="Calibri" w:cs="Calibri"/>
                <w:szCs w:val="24"/>
              </w:rPr>
            </w:pPr>
          </w:p>
          <w:p w14:paraId="55609DD2" w14:textId="04CBFAE4" w:rsidR="0087726D" w:rsidRDefault="00984E7F" w:rsidP="00755336">
            <w:pPr>
              <w:spacing w:after="200" w:line="276" w:lineRule="auto"/>
              <w:jc w:val="both"/>
              <w:rPr>
                <w:rFonts w:eastAsia="Times New Roman"/>
                <w:bCs/>
              </w:rPr>
            </w:pPr>
            <w:r w:rsidRPr="00984E7F">
              <w:rPr>
                <w:rFonts w:eastAsia="Times New Roman"/>
                <w:bCs/>
              </w:rPr>
              <w:t xml:space="preserve">The </w:t>
            </w:r>
            <w:r w:rsidR="00317A90" w:rsidRPr="001E25FE">
              <w:rPr>
                <w:b/>
                <w:color w:val="000000" w:themeColor="text1"/>
              </w:rPr>
              <w:t>Data Access Group</w:t>
            </w:r>
            <w:r w:rsidR="00317A90" w:rsidRPr="00AA7434">
              <w:t xml:space="preserve"> </w:t>
            </w:r>
            <w:r w:rsidRPr="00984E7F">
              <w:rPr>
                <w:rFonts w:eastAsia="Times New Roman"/>
                <w:bCs/>
              </w:rPr>
              <w:t>shall have the following powers and responsibilities:</w:t>
            </w:r>
            <w:r w:rsidR="0087726D">
              <w:rPr>
                <w:rFonts w:eastAsia="Times New Roman"/>
                <w:bCs/>
              </w:rPr>
              <w:t xml:space="preserve"> </w:t>
            </w:r>
          </w:p>
          <w:p w14:paraId="7B099693" w14:textId="39E27CFD" w:rsidR="009C4DF5" w:rsidRDefault="00317A90" w:rsidP="00E900A8">
            <w:pPr>
              <w:pStyle w:val="ListParagraph"/>
              <w:numPr>
                <w:ilvl w:val="0"/>
                <w:numId w:val="6"/>
              </w:numPr>
              <w:spacing w:after="200" w:line="276" w:lineRule="auto"/>
              <w:jc w:val="both"/>
              <w:rPr>
                <w:rFonts w:cstheme="minorHAnsi"/>
              </w:rPr>
            </w:pPr>
            <w:r>
              <w:rPr>
                <w:rFonts w:cstheme="minorHAnsi"/>
              </w:rPr>
              <w:t>Ensure that every requester has completed the ‘Data Access Form’</w:t>
            </w:r>
            <w:r w:rsidR="00BB63A9">
              <w:rPr>
                <w:rFonts w:cstheme="minorHAnsi"/>
              </w:rPr>
              <w:t xml:space="preserve"> </w:t>
            </w:r>
            <w:r>
              <w:rPr>
                <w:rFonts w:cstheme="minorHAnsi"/>
              </w:rPr>
              <w:t xml:space="preserve">properly, including all the information required in order for the group to make an informed decision; </w:t>
            </w:r>
          </w:p>
          <w:p w14:paraId="40E1CBDA" w14:textId="77777777" w:rsidR="00317A90" w:rsidRDefault="00317A90" w:rsidP="00317A90">
            <w:pPr>
              <w:pStyle w:val="ListParagraph"/>
              <w:spacing w:after="200" w:line="276" w:lineRule="auto"/>
              <w:ind w:left="457"/>
              <w:jc w:val="both"/>
              <w:rPr>
                <w:rFonts w:cstheme="minorHAnsi"/>
              </w:rPr>
            </w:pPr>
          </w:p>
          <w:p w14:paraId="5C1CF16E" w14:textId="77777777" w:rsidR="0000125F" w:rsidRDefault="00317A90" w:rsidP="00E900A8">
            <w:pPr>
              <w:pStyle w:val="ListParagraph"/>
              <w:numPr>
                <w:ilvl w:val="0"/>
                <w:numId w:val="6"/>
              </w:numPr>
              <w:spacing w:after="200" w:line="276" w:lineRule="auto"/>
              <w:jc w:val="both"/>
              <w:rPr>
                <w:rFonts w:cstheme="minorHAnsi"/>
              </w:rPr>
            </w:pPr>
            <w:r>
              <w:rPr>
                <w:rFonts w:cstheme="minorHAnsi"/>
              </w:rPr>
              <w:t xml:space="preserve">Ensure </w:t>
            </w:r>
            <w:r w:rsidR="009907FB">
              <w:rPr>
                <w:rFonts w:cstheme="minorHAnsi"/>
              </w:rPr>
              <w:t xml:space="preserve">each ‘Date Access Form’ is accompanied with a letter of support from </w:t>
            </w:r>
            <w:r w:rsidR="0000125F">
              <w:rPr>
                <w:rFonts w:cstheme="minorHAnsi"/>
              </w:rPr>
              <w:t xml:space="preserve">a clinical lead/divisional manager; </w:t>
            </w:r>
          </w:p>
          <w:p w14:paraId="5D66EAE4" w14:textId="77777777" w:rsidR="0000125F" w:rsidRPr="0000125F" w:rsidRDefault="0000125F" w:rsidP="0000125F">
            <w:pPr>
              <w:pStyle w:val="ListParagraph"/>
              <w:rPr>
                <w:rFonts w:cstheme="minorHAnsi"/>
              </w:rPr>
            </w:pPr>
          </w:p>
          <w:p w14:paraId="5286C2CC" w14:textId="77777777" w:rsidR="00317A90" w:rsidRDefault="0000125F" w:rsidP="00E900A8">
            <w:pPr>
              <w:pStyle w:val="ListParagraph"/>
              <w:numPr>
                <w:ilvl w:val="0"/>
                <w:numId w:val="6"/>
              </w:numPr>
              <w:spacing w:after="200" w:line="276" w:lineRule="auto"/>
              <w:jc w:val="both"/>
              <w:rPr>
                <w:rFonts w:cstheme="minorHAnsi"/>
              </w:rPr>
            </w:pPr>
            <w:r>
              <w:rPr>
                <w:rFonts w:cstheme="minorHAnsi"/>
              </w:rPr>
              <w:t>Ensure, where record level data is being requested, the requester enters into a ‘Data Processing Agreement’ (DPA) with the ‘Data Controllers’</w:t>
            </w:r>
            <w:r w:rsidR="00D312A2">
              <w:rPr>
                <w:rFonts w:cstheme="minorHAnsi"/>
              </w:rPr>
              <w:t xml:space="preserve">; </w:t>
            </w:r>
          </w:p>
          <w:p w14:paraId="16EBDE3C" w14:textId="77777777" w:rsidR="00D312A2" w:rsidRPr="00D312A2" w:rsidRDefault="00D312A2" w:rsidP="00D312A2">
            <w:pPr>
              <w:pStyle w:val="ListParagraph"/>
              <w:rPr>
                <w:rFonts w:cstheme="minorHAnsi"/>
              </w:rPr>
            </w:pPr>
          </w:p>
          <w:p w14:paraId="75903C71" w14:textId="77777777" w:rsidR="00D312A2" w:rsidRPr="00D312A2" w:rsidRDefault="00D312A2" w:rsidP="00E900A8">
            <w:pPr>
              <w:pStyle w:val="ListParagraph"/>
              <w:numPr>
                <w:ilvl w:val="0"/>
                <w:numId w:val="6"/>
              </w:numPr>
              <w:spacing w:before="60" w:after="60"/>
              <w:jc w:val="both"/>
            </w:pPr>
            <w:r w:rsidRPr="00876694">
              <w:rPr>
                <w:iCs/>
              </w:rPr>
              <w:t xml:space="preserve">Make recommendations to </w:t>
            </w:r>
            <w:r w:rsidRPr="006B29D7">
              <w:rPr>
                <w:b/>
                <w:bCs/>
              </w:rPr>
              <w:t>NW London Digital Information Governance Board</w:t>
            </w:r>
            <w:r w:rsidRPr="00876694">
              <w:rPr>
                <w:iCs/>
              </w:rPr>
              <w:t xml:space="preserve"> who will inform the </w:t>
            </w:r>
            <w:r>
              <w:rPr>
                <w:iCs/>
              </w:rPr>
              <w:t>NWL Digital Strategy Board</w:t>
            </w:r>
            <w:r w:rsidRPr="00876694">
              <w:rPr>
                <w:iCs/>
              </w:rPr>
              <w:t xml:space="preserve"> of any changes, reviews, and/or strategic aims, and provide assurance that the system security, data flows and access to information are in line with best practice in relation to information governance</w:t>
            </w:r>
            <w:r>
              <w:rPr>
                <w:iCs/>
              </w:rPr>
              <w:t xml:space="preserve"> and data protection legislation; </w:t>
            </w:r>
          </w:p>
          <w:p w14:paraId="396BA00E" w14:textId="77777777" w:rsidR="00D312A2" w:rsidRDefault="00D312A2" w:rsidP="00D312A2">
            <w:pPr>
              <w:pStyle w:val="ListParagraph"/>
            </w:pPr>
          </w:p>
          <w:p w14:paraId="39AC1F87" w14:textId="77777777" w:rsidR="00D312A2" w:rsidRDefault="00D312A2" w:rsidP="00E900A8">
            <w:pPr>
              <w:pStyle w:val="ListParagraph"/>
              <w:numPr>
                <w:ilvl w:val="0"/>
                <w:numId w:val="6"/>
              </w:numPr>
              <w:spacing w:before="60" w:after="60"/>
              <w:jc w:val="both"/>
            </w:pPr>
            <w:r>
              <w:t xml:space="preserve">Determine and attach any reporting requirements that the requester, of the data, should adhere to; </w:t>
            </w:r>
          </w:p>
          <w:p w14:paraId="1B425F14" w14:textId="77777777" w:rsidR="00D312A2" w:rsidRDefault="00D312A2" w:rsidP="00D312A2">
            <w:pPr>
              <w:pStyle w:val="ListParagraph"/>
            </w:pPr>
          </w:p>
          <w:p w14:paraId="44ABD478" w14:textId="2EA5F4EF" w:rsidR="00D312A2" w:rsidRDefault="00D312A2" w:rsidP="00E900A8">
            <w:pPr>
              <w:pStyle w:val="ListParagraph"/>
              <w:numPr>
                <w:ilvl w:val="0"/>
                <w:numId w:val="6"/>
              </w:numPr>
              <w:spacing w:before="60" w:after="60"/>
              <w:jc w:val="both"/>
            </w:pPr>
            <w:r>
              <w:lastRenderedPageBreak/>
              <w:t xml:space="preserve">Ensure full compliance with any ‘Rights of data subject’ requests under Articles 15-22 of the GDPR and inform the </w:t>
            </w:r>
            <w:r w:rsidRPr="006B29D7">
              <w:rPr>
                <w:b/>
                <w:bCs/>
              </w:rPr>
              <w:t>NW London Digital Information Governance Board</w:t>
            </w:r>
            <w:r>
              <w:t xml:space="preserve"> where appropriate; </w:t>
            </w:r>
          </w:p>
          <w:p w14:paraId="0F02E8CC" w14:textId="77777777" w:rsidR="00D312A2" w:rsidRDefault="00D312A2" w:rsidP="00D312A2">
            <w:pPr>
              <w:pStyle w:val="ListParagraph"/>
            </w:pPr>
          </w:p>
          <w:p w14:paraId="041C1E84" w14:textId="77777777" w:rsidR="00E900A8" w:rsidRDefault="00D312A2" w:rsidP="00E900A8">
            <w:pPr>
              <w:pStyle w:val="ListParagraph"/>
              <w:numPr>
                <w:ilvl w:val="0"/>
                <w:numId w:val="6"/>
              </w:numPr>
              <w:spacing w:before="60" w:after="60"/>
              <w:jc w:val="both"/>
            </w:pPr>
            <w:r>
              <w:t xml:space="preserve">Review and keep up to date </w:t>
            </w:r>
            <w:r w:rsidR="00010C69">
              <w:t>all “documents” that pertain to the North West London collaboration in order to ensure they reflect the latest changes to legislation or code of best practice.</w:t>
            </w:r>
            <w:r w:rsidR="00D345B3">
              <w:t xml:space="preserve"> </w:t>
            </w:r>
            <w:r w:rsidR="00010C69">
              <w:t>These “documents” could include, but not limited to; the ISS, MDPA, Privacy Notices, DPIA, ROPA, PPI material, website content and other contracts/agreements</w:t>
            </w:r>
            <w:r w:rsidR="00E900A8">
              <w:t xml:space="preserve">; </w:t>
            </w:r>
          </w:p>
          <w:p w14:paraId="45CB5271" w14:textId="77777777" w:rsidR="00E900A8" w:rsidRDefault="00E900A8" w:rsidP="00E900A8">
            <w:pPr>
              <w:pStyle w:val="ListParagraph"/>
            </w:pPr>
          </w:p>
          <w:p w14:paraId="469806A9" w14:textId="77777777" w:rsidR="00E900A8" w:rsidRDefault="00E900A8" w:rsidP="00E900A8">
            <w:pPr>
              <w:pStyle w:val="ListParagraph"/>
              <w:numPr>
                <w:ilvl w:val="0"/>
                <w:numId w:val="6"/>
              </w:numPr>
              <w:spacing w:before="60" w:after="60"/>
              <w:jc w:val="both"/>
            </w:pPr>
            <w:r>
              <w:t xml:space="preserve">Deal with any complaints relating to Discover; </w:t>
            </w:r>
          </w:p>
          <w:p w14:paraId="51444BB9" w14:textId="77777777" w:rsidR="00E900A8" w:rsidRDefault="00E900A8" w:rsidP="00E900A8">
            <w:pPr>
              <w:pStyle w:val="ListParagraph"/>
            </w:pPr>
          </w:p>
          <w:p w14:paraId="20A4DCB1" w14:textId="2DA0302C" w:rsidR="00D312A2" w:rsidRPr="00D312A2" w:rsidRDefault="00E900A8" w:rsidP="00E900A8">
            <w:pPr>
              <w:pStyle w:val="ListParagraph"/>
              <w:numPr>
                <w:ilvl w:val="0"/>
                <w:numId w:val="6"/>
              </w:numPr>
              <w:spacing w:before="60" w:after="60"/>
              <w:jc w:val="both"/>
            </w:pPr>
            <w:r>
              <w:t>M</w:t>
            </w:r>
            <w:r w:rsidRPr="000D710A">
              <w:t>aintain a risk register and log of mitigating controls and reporting that is periodically updated to reflect the changing risk environment</w:t>
            </w:r>
            <w:r>
              <w:t>.</w:t>
            </w:r>
            <w:r w:rsidR="00010C69">
              <w:t xml:space="preserve"> </w:t>
            </w:r>
          </w:p>
        </w:tc>
      </w:tr>
      <w:tr w:rsidR="004837C6" w14:paraId="180EF35E" w14:textId="77777777" w:rsidTr="00C14855">
        <w:tc>
          <w:tcPr>
            <w:tcW w:w="2405" w:type="dxa"/>
          </w:tcPr>
          <w:p w14:paraId="48B6FE34" w14:textId="77777777" w:rsidR="004837C6" w:rsidRPr="00AA7434" w:rsidRDefault="004837C6" w:rsidP="004837C6">
            <w:pPr>
              <w:pStyle w:val="ListParagraph"/>
              <w:numPr>
                <w:ilvl w:val="0"/>
                <w:numId w:val="1"/>
              </w:numPr>
              <w:spacing w:before="60" w:after="60"/>
            </w:pPr>
            <w:r w:rsidRPr="00AA7434">
              <w:lastRenderedPageBreak/>
              <w:t>Accountability</w:t>
            </w:r>
          </w:p>
        </w:tc>
        <w:tc>
          <w:tcPr>
            <w:tcW w:w="6521" w:type="dxa"/>
          </w:tcPr>
          <w:p w14:paraId="571CB22C" w14:textId="7732CDA1" w:rsidR="006E52ED" w:rsidRPr="00D345B3" w:rsidRDefault="004837C6" w:rsidP="00D345B3">
            <w:pPr>
              <w:spacing w:after="200" w:line="276" w:lineRule="auto"/>
              <w:jc w:val="both"/>
              <w:rPr>
                <w:rFonts w:cstheme="minorHAnsi"/>
              </w:rPr>
            </w:pPr>
            <w:r w:rsidRPr="005A1911">
              <w:rPr>
                <w:rFonts w:cstheme="minorHAnsi"/>
              </w:rPr>
              <w:t xml:space="preserve">The </w:t>
            </w:r>
            <w:r w:rsidR="005A1911" w:rsidRPr="005A1911">
              <w:rPr>
                <w:rFonts w:cstheme="minorHAnsi"/>
                <w:b/>
                <w:bCs/>
              </w:rPr>
              <w:t>Data Access Group</w:t>
            </w:r>
            <w:r w:rsidR="005A1911" w:rsidRPr="005A1911">
              <w:rPr>
                <w:rFonts w:cstheme="minorHAnsi"/>
              </w:rPr>
              <w:t xml:space="preserve"> </w:t>
            </w:r>
            <w:r w:rsidRPr="00EC3237">
              <w:t xml:space="preserve">will </w:t>
            </w:r>
            <w:r w:rsidR="00EC3237" w:rsidRPr="00EC3237">
              <w:t xml:space="preserve">be held accountable for </w:t>
            </w:r>
            <w:r w:rsidR="0034467C" w:rsidRPr="00EC3237">
              <w:t>ensur</w:t>
            </w:r>
            <w:r w:rsidR="00EC3237" w:rsidRPr="00EC3237">
              <w:t>ing</w:t>
            </w:r>
            <w:r w:rsidRPr="00EC3237">
              <w:t xml:space="preserve"> </w:t>
            </w:r>
            <w:r w:rsidR="001961BC" w:rsidRPr="00EC3237">
              <w:t>t</w:t>
            </w:r>
            <w:r w:rsidR="00BB63A9" w:rsidRPr="00EC3237">
              <w:t xml:space="preserve">he </w:t>
            </w:r>
            <w:r w:rsidR="00C56B73" w:rsidRPr="00EC3237">
              <w:t>processing</w:t>
            </w:r>
            <w:r w:rsidR="00BB63A9" w:rsidRPr="00EC3237">
              <w:t xml:space="preserve"> of data </w:t>
            </w:r>
            <w:r w:rsidR="0034467C" w:rsidRPr="00EC3237">
              <w:t>is in line with</w:t>
            </w:r>
            <w:r w:rsidR="00BB63A9" w:rsidRPr="00EC3237">
              <w:t xml:space="preserve"> </w:t>
            </w:r>
            <w:r w:rsidR="005A1911" w:rsidRPr="00EC3237">
              <w:t xml:space="preserve">Interoperability Service Specification and </w:t>
            </w:r>
            <w:r w:rsidR="00F11127" w:rsidRPr="00EC3237">
              <w:t xml:space="preserve">NWL </w:t>
            </w:r>
            <w:r w:rsidR="0034467C" w:rsidRPr="00EC3237">
              <w:t xml:space="preserve">Statement of Information Sharing signed by the data controllers.  It </w:t>
            </w:r>
            <w:r w:rsidR="00EC3237">
              <w:t xml:space="preserve">must </w:t>
            </w:r>
            <w:r w:rsidR="0034467C" w:rsidRPr="00EC3237">
              <w:t xml:space="preserve">further ensure that all processing would be </w:t>
            </w:r>
            <w:r w:rsidR="00BB63A9" w:rsidRPr="00EC3237">
              <w:t xml:space="preserve">in </w:t>
            </w:r>
            <w:r w:rsidR="001961BC" w:rsidRPr="00EC3237">
              <w:t xml:space="preserve">compliance with </w:t>
            </w:r>
            <w:r w:rsidR="00BB63A9" w:rsidRPr="00EC3237">
              <w:t>all</w:t>
            </w:r>
            <w:r w:rsidR="001961BC" w:rsidRPr="00EC3237">
              <w:t xml:space="preserve"> relevant data protection legislation</w:t>
            </w:r>
            <w:r w:rsidR="00BB63A9" w:rsidRPr="00EC3237">
              <w:t>, common law, and</w:t>
            </w:r>
            <w:r w:rsidR="000630B7" w:rsidRPr="00EC3237">
              <w:t xml:space="preserve"> ethical practices in data </w:t>
            </w:r>
            <w:r w:rsidR="00C56B73" w:rsidRPr="00EC3237">
              <w:t xml:space="preserve">processing and </w:t>
            </w:r>
            <w:r w:rsidR="000630B7" w:rsidRPr="00EC3237">
              <w:t>sharing.</w:t>
            </w:r>
            <w:r w:rsidR="000630B7" w:rsidRPr="005A1911">
              <w:rPr>
                <w:rFonts w:cstheme="minorHAnsi"/>
              </w:rPr>
              <w:t xml:space="preserve"> </w:t>
            </w:r>
          </w:p>
          <w:p w14:paraId="46CBEB4E" w14:textId="36B63153" w:rsidR="00DC5548" w:rsidRPr="0034467C" w:rsidRDefault="005828CC" w:rsidP="0034467C">
            <w:pPr>
              <w:spacing w:before="60" w:after="60"/>
              <w:jc w:val="both"/>
            </w:pPr>
            <w:r w:rsidRPr="00AA7434">
              <w:t xml:space="preserve">The </w:t>
            </w:r>
            <w:r w:rsidR="0034467C" w:rsidRPr="005A1911">
              <w:rPr>
                <w:rFonts w:cstheme="minorHAnsi"/>
                <w:b/>
                <w:bCs/>
              </w:rPr>
              <w:t>Data Access Group</w:t>
            </w:r>
            <w:r w:rsidR="0034467C" w:rsidRPr="005A1911">
              <w:rPr>
                <w:rFonts w:cstheme="minorHAnsi"/>
              </w:rPr>
              <w:t xml:space="preserve"> </w:t>
            </w:r>
            <w:r w:rsidRPr="00AA7434">
              <w:t>is accountable to the</w:t>
            </w:r>
            <w:r w:rsidR="0034467C" w:rsidRPr="006B29D7">
              <w:rPr>
                <w:b/>
                <w:bCs/>
              </w:rPr>
              <w:t xml:space="preserve"> NW London Digital Information Governance Board</w:t>
            </w:r>
            <w:r w:rsidR="0034467C">
              <w:t xml:space="preserve">. </w:t>
            </w:r>
          </w:p>
        </w:tc>
      </w:tr>
      <w:tr w:rsidR="004837C6" w14:paraId="3DE4319F" w14:textId="77777777" w:rsidTr="00C14855">
        <w:tc>
          <w:tcPr>
            <w:tcW w:w="2405" w:type="dxa"/>
          </w:tcPr>
          <w:p w14:paraId="109B236F" w14:textId="3E759B1D" w:rsidR="004837C6" w:rsidRPr="00AA7434" w:rsidRDefault="004837C6" w:rsidP="004837C6">
            <w:pPr>
              <w:pStyle w:val="ListParagraph"/>
              <w:numPr>
                <w:ilvl w:val="0"/>
                <w:numId w:val="1"/>
              </w:numPr>
              <w:spacing w:before="60" w:after="60"/>
            </w:pPr>
            <w:r w:rsidRPr="00AA7434">
              <w:t xml:space="preserve">Interests of </w:t>
            </w:r>
            <w:r w:rsidR="009645E9" w:rsidRPr="005A1911">
              <w:rPr>
                <w:rFonts w:cstheme="minorHAnsi"/>
                <w:b/>
                <w:bCs/>
              </w:rPr>
              <w:t>Data Access Group</w:t>
            </w:r>
            <w:r w:rsidR="009645E9" w:rsidRPr="005A1911">
              <w:rPr>
                <w:rFonts w:cstheme="minorHAnsi"/>
              </w:rPr>
              <w:t xml:space="preserve"> </w:t>
            </w:r>
            <w:r w:rsidRPr="00AA7434">
              <w:t>members</w:t>
            </w:r>
          </w:p>
        </w:tc>
        <w:tc>
          <w:tcPr>
            <w:tcW w:w="6521" w:type="dxa"/>
          </w:tcPr>
          <w:p w14:paraId="01448D0F" w14:textId="4E81B3E6" w:rsidR="004837C6" w:rsidRPr="00AA7434" w:rsidRDefault="004837C6" w:rsidP="009645E9">
            <w:pPr>
              <w:pStyle w:val="Default"/>
              <w:spacing w:before="60" w:after="60"/>
              <w:jc w:val="both"/>
              <w:rPr>
                <w:color w:val="auto"/>
              </w:rPr>
            </w:pPr>
            <w:r w:rsidRPr="00AA7434">
              <w:rPr>
                <w:color w:val="auto"/>
                <w:sz w:val="22"/>
                <w:szCs w:val="22"/>
              </w:rPr>
              <w:t xml:space="preserve">All members of the </w:t>
            </w:r>
            <w:r w:rsidR="009645E9" w:rsidRPr="005A1911">
              <w:rPr>
                <w:rFonts w:cstheme="minorHAnsi"/>
                <w:b/>
                <w:bCs/>
              </w:rPr>
              <w:t>Data Access Group</w:t>
            </w:r>
            <w:r w:rsidR="009645E9" w:rsidRPr="005A1911">
              <w:rPr>
                <w:rFonts w:cstheme="minorHAnsi"/>
              </w:rPr>
              <w:t xml:space="preserve"> </w:t>
            </w:r>
            <w:r w:rsidRPr="00AA7434">
              <w:rPr>
                <w:color w:val="auto"/>
                <w:sz w:val="22"/>
                <w:szCs w:val="22"/>
              </w:rPr>
              <w:t xml:space="preserve">shall declare any interests in any matter coming before the Group and the </w:t>
            </w:r>
            <w:r w:rsidR="00297705">
              <w:rPr>
                <w:color w:val="auto"/>
                <w:sz w:val="22"/>
                <w:szCs w:val="22"/>
              </w:rPr>
              <w:t>Co-</w:t>
            </w:r>
            <w:r w:rsidRPr="00AA7434">
              <w:rPr>
                <w:color w:val="auto"/>
                <w:sz w:val="22"/>
                <w:szCs w:val="22"/>
              </w:rPr>
              <w:t>Chair</w:t>
            </w:r>
            <w:r w:rsidR="00297705">
              <w:rPr>
                <w:color w:val="auto"/>
                <w:sz w:val="22"/>
                <w:szCs w:val="22"/>
              </w:rPr>
              <w:t>s</w:t>
            </w:r>
            <w:r w:rsidRPr="00AA7434">
              <w:rPr>
                <w:color w:val="auto"/>
                <w:sz w:val="22"/>
                <w:szCs w:val="22"/>
              </w:rPr>
              <w:t xml:space="preserve"> shall consider whether such interest requires the member to withdraw from the meeting for that item of business. </w:t>
            </w:r>
          </w:p>
        </w:tc>
      </w:tr>
      <w:tr w:rsidR="004837C6" w14:paraId="15754B1D" w14:textId="77777777" w:rsidTr="00C14855">
        <w:tc>
          <w:tcPr>
            <w:tcW w:w="2405" w:type="dxa"/>
          </w:tcPr>
          <w:p w14:paraId="76506AF0" w14:textId="77777777" w:rsidR="004837C6" w:rsidRPr="00AA7434" w:rsidRDefault="004837C6" w:rsidP="004837C6">
            <w:pPr>
              <w:pStyle w:val="ListParagraph"/>
              <w:numPr>
                <w:ilvl w:val="0"/>
                <w:numId w:val="1"/>
              </w:numPr>
              <w:spacing w:before="60" w:after="60"/>
            </w:pPr>
            <w:r w:rsidRPr="00AA7434">
              <w:t>Reporting responsibilities</w:t>
            </w:r>
          </w:p>
        </w:tc>
        <w:tc>
          <w:tcPr>
            <w:tcW w:w="6521" w:type="dxa"/>
          </w:tcPr>
          <w:p w14:paraId="06237E1D" w14:textId="77001C93" w:rsidR="004837C6" w:rsidRPr="00AA7434" w:rsidRDefault="004837C6" w:rsidP="00D312A2">
            <w:pPr>
              <w:spacing w:before="60" w:after="60"/>
              <w:jc w:val="both"/>
            </w:pPr>
            <w:r w:rsidRPr="00AA7434">
              <w:t xml:space="preserve">Each member shall disseminate minutes and reports of </w:t>
            </w:r>
            <w:r w:rsidR="00D312A2" w:rsidRPr="005A1911">
              <w:rPr>
                <w:rFonts w:cstheme="minorHAnsi"/>
                <w:b/>
                <w:bCs/>
              </w:rPr>
              <w:t>Data Access Group</w:t>
            </w:r>
            <w:r w:rsidR="00F51D19">
              <w:t xml:space="preserve"> </w:t>
            </w:r>
            <w:r w:rsidRPr="00AA7434">
              <w:t>meetings to the organisation or organisations that member represents</w:t>
            </w:r>
            <w:r w:rsidR="00D312A2">
              <w:t xml:space="preserve">. </w:t>
            </w:r>
          </w:p>
          <w:p w14:paraId="1AA9DB01" w14:textId="77777777" w:rsidR="004837C6" w:rsidRPr="00AA7434" w:rsidRDefault="004837C6" w:rsidP="004837C6">
            <w:pPr>
              <w:spacing w:before="60" w:after="60"/>
            </w:pPr>
          </w:p>
          <w:p w14:paraId="01437F3F" w14:textId="413B0E13" w:rsidR="00BB63A9" w:rsidRPr="00AA7434" w:rsidRDefault="006E52ED" w:rsidP="00D312A2">
            <w:pPr>
              <w:spacing w:before="60" w:after="60"/>
              <w:jc w:val="both"/>
            </w:pPr>
            <w:r w:rsidRPr="00AA7434">
              <w:t xml:space="preserve">The </w:t>
            </w:r>
            <w:r w:rsidR="00D312A2" w:rsidRPr="005A1911">
              <w:rPr>
                <w:rFonts w:cstheme="minorHAnsi"/>
                <w:b/>
                <w:bCs/>
              </w:rPr>
              <w:t>Data Access Group</w:t>
            </w:r>
            <w:r w:rsidR="00D312A2" w:rsidRPr="005A1911">
              <w:rPr>
                <w:rFonts w:cstheme="minorHAnsi"/>
              </w:rPr>
              <w:t xml:space="preserve"> </w:t>
            </w:r>
            <w:r w:rsidRPr="00AA7434">
              <w:t xml:space="preserve">will </w:t>
            </w:r>
            <w:r w:rsidR="00BB63A9">
              <w:t>provide a</w:t>
            </w:r>
            <w:r w:rsidR="00CE0101">
              <w:t xml:space="preserve"> </w:t>
            </w:r>
            <w:r w:rsidR="00BB63A9">
              <w:t>report</w:t>
            </w:r>
            <w:r w:rsidR="00D312A2">
              <w:t>, in writing or verbal,</w:t>
            </w:r>
            <w:r w:rsidR="00BB63A9">
              <w:t xml:space="preserve"> to </w:t>
            </w:r>
            <w:r w:rsidR="00BB63A9" w:rsidRPr="00CE0101">
              <w:t xml:space="preserve">the </w:t>
            </w:r>
            <w:r w:rsidR="00D312A2" w:rsidRPr="006B29D7">
              <w:rPr>
                <w:b/>
                <w:bCs/>
              </w:rPr>
              <w:t>NW London Digital Information Governance Board</w:t>
            </w:r>
            <w:r w:rsidR="00D312A2" w:rsidRPr="00CE0101">
              <w:t xml:space="preserve"> </w:t>
            </w:r>
            <w:r w:rsidR="00BB63A9" w:rsidRPr="00CE0101">
              <w:t xml:space="preserve">on activity and progress, or at a frequency as defined by the </w:t>
            </w:r>
            <w:r w:rsidR="00D312A2" w:rsidRPr="006B29D7">
              <w:rPr>
                <w:b/>
                <w:bCs/>
              </w:rPr>
              <w:t>NW London Digital Information Governance Board</w:t>
            </w:r>
            <w:r w:rsidR="00BB63A9" w:rsidRPr="00CE0101">
              <w:t>.</w:t>
            </w:r>
            <w:r w:rsidR="00BB63A9">
              <w:t xml:space="preserve"> </w:t>
            </w:r>
          </w:p>
        </w:tc>
      </w:tr>
      <w:tr w:rsidR="004837C6" w14:paraId="0EEBAF7F" w14:textId="77777777" w:rsidTr="00C14855">
        <w:tc>
          <w:tcPr>
            <w:tcW w:w="2405" w:type="dxa"/>
          </w:tcPr>
          <w:p w14:paraId="4FCF45FE" w14:textId="43667E2F" w:rsidR="004837C6" w:rsidRPr="00AA7434" w:rsidRDefault="004837C6" w:rsidP="00463EAC">
            <w:pPr>
              <w:pStyle w:val="ListParagraph"/>
              <w:numPr>
                <w:ilvl w:val="0"/>
                <w:numId w:val="1"/>
              </w:numPr>
              <w:spacing w:before="60" w:after="60"/>
            </w:pPr>
            <w:r w:rsidRPr="00AA7434">
              <w:t xml:space="preserve">Conduct of </w:t>
            </w:r>
            <w:r w:rsidR="00463EAC" w:rsidRPr="00AA7434">
              <w:t xml:space="preserve">the </w:t>
            </w:r>
            <w:r w:rsidR="000603B4" w:rsidRPr="000603B4">
              <w:rPr>
                <w:b/>
                <w:bCs/>
              </w:rPr>
              <w:t xml:space="preserve">Data Access Group </w:t>
            </w:r>
            <w:r w:rsidR="00F51D19" w:rsidRPr="000603B4">
              <w:rPr>
                <w:b/>
                <w:bCs/>
              </w:rPr>
              <w:t xml:space="preserve"> </w:t>
            </w:r>
            <w:r w:rsidR="00EE1BAB" w:rsidRPr="000603B4">
              <w:rPr>
                <w:b/>
                <w:bCs/>
              </w:rPr>
              <w:t xml:space="preserve"> </w:t>
            </w:r>
          </w:p>
        </w:tc>
        <w:tc>
          <w:tcPr>
            <w:tcW w:w="6521" w:type="dxa"/>
          </w:tcPr>
          <w:p w14:paraId="5DBCF7ED" w14:textId="33003662" w:rsidR="004837C6" w:rsidRPr="00AA7434" w:rsidRDefault="00F51D19" w:rsidP="00D312A2">
            <w:pPr>
              <w:spacing w:before="60" w:after="60"/>
              <w:jc w:val="both"/>
            </w:pPr>
            <w:r w:rsidRPr="00F51D19">
              <w:t>The</w:t>
            </w:r>
            <w:r w:rsidRPr="00F51D19">
              <w:rPr>
                <w:b/>
              </w:rPr>
              <w:t xml:space="preserve"> </w:t>
            </w:r>
            <w:r w:rsidR="00D312A2" w:rsidRPr="005A1911">
              <w:rPr>
                <w:rFonts w:cstheme="minorHAnsi"/>
                <w:b/>
                <w:bCs/>
              </w:rPr>
              <w:t>Data Access Group</w:t>
            </w:r>
            <w:r w:rsidR="00D312A2" w:rsidRPr="005A1911">
              <w:rPr>
                <w:rFonts w:cstheme="minorHAnsi"/>
              </w:rPr>
              <w:t xml:space="preserve"> </w:t>
            </w:r>
            <w:r w:rsidR="004837C6" w:rsidRPr="00AA7434">
              <w:t>shall keep these Terms of Reference under review.</w:t>
            </w:r>
          </w:p>
          <w:p w14:paraId="35802EBE" w14:textId="77777777" w:rsidR="004837C6" w:rsidRPr="00AA7434" w:rsidRDefault="004837C6" w:rsidP="004837C6">
            <w:pPr>
              <w:spacing w:before="60" w:after="60"/>
            </w:pPr>
          </w:p>
          <w:p w14:paraId="118DFB3B" w14:textId="56E211D1" w:rsidR="004837C6" w:rsidRPr="00D312A2" w:rsidRDefault="004837C6" w:rsidP="00D312A2">
            <w:pPr>
              <w:spacing w:before="60" w:after="60"/>
              <w:jc w:val="both"/>
            </w:pPr>
            <w:r w:rsidRPr="00AA7434">
              <w:t>Any changes to the terms of reference should be approved by the</w:t>
            </w:r>
            <w:r w:rsidR="00F51D19">
              <w:rPr>
                <w:b/>
                <w:color w:val="0070C0"/>
              </w:rPr>
              <w:t xml:space="preserve"> </w:t>
            </w:r>
            <w:r w:rsidR="00D312A2" w:rsidRPr="006B29D7">
              <w:rPr>
                <w:b/>
                <w:bCs/>
              </w:rPr>
              <w:t>NW London Digital Information Governance Board</w:t>
            </w:r>
            <w:r w:rsidR="00D312A2">
              <w:t>.</w:t>
            </w:r>
          </w:p>
        </w:tc>
      </w:tr>
    </w:tbl>
    <w:p w14:paraId="02B8634C" w14:textId="77777777" w:rsidR="007B0556" w:rsidRDefault="007B0556"/>
    <w:sectPr w:rsidR="007B0556" w:rsidSect="00A5420B">
      <w:footerReference w:type="default" r:id="rId11"/>
      <w:headerReference w:type="first" r:id="rId12"/>
      <w:footerReference w:type="first" r:id="rId13"/>
      <w:pgSz w:w="11906" w:h="16838"/>
      <w:pgMar w:top="1440" w:right="1440" w:bottom="1440" w:left="1440" w:header="708"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348E7" w14:textId="77777777" w:rsidR="00B33DDB" w:rsidRDefault="00B33DDB" w:rsidP="004837C6">
      <w:pPr>
        <w:spacing w:after="0" w:line="240" w:lineRule="auto"/>
      </w:pPr>
      <w:r>
        <w:separator/>
      </w:r>
    </w:p>
  </w:endnote>
  <w:endnote w:type="continuationSeparator" w:id="0">
    <w:p w14:paraId="7E5F6D27" w14:textId="77777777" w:rsidR="00B33DDB" w:rsidRDefault="00B33DDB" w:rsidP="0048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DD025" w14:textId="4F5B9DC5" w:rsidR="00D312A2" w:rsidRPr="00E529F1" w:rsidRDefault="00D312A2" w:rsidP="00E529F1">
    <w:pPr>
      <w:pStyle w:val="Footer"/>
      <w:tabs>
        <w:tab w:val="clear" w:pos="4513"/>
        <w:tab w:val="center" w:pos="0"/>
      </w:tabs>
      <w:jc w:val="right"/>
      <w:rPr>
        <w:sz w:val="20"/>
      </w:rPr>
    </w:pPr>
    <w:r>
      <w:rPr>
        <w:sz w:val="20"/>
      </w:rPr>
      <w:t xml:space="preserve">The </w:t>
    </w:r>
    <w:r w:rsidRPr="00E529F1">
      <w:rPr>
        <w:sz w:val="20"/>
      </w:rPr>
      <w:fldChar w:fldCharType="begin"/>
    </w:r>
    <w:r w:rsidRPr="00E529F1">
      <w:rPr>
        <w:sz w:val="20"/>
      </w:rPr>
      <w:instrText xml:space="preserve"> FILENAME  \* FirstCap  \* MERGEFORMAT </w:instrText>
    </w:r>
    <w:r w:rsidRPr="00E529F1">
      <w:rPr>
        <w:sz w:val="20"/>
      </w:rPr>
      <w:fldChar w:fldCharType="separate"/>
    </w:r>
    <w:r w:rsidRPr="00943173">
      <w:rPr>
        <w:b/>
      </w:rPr>
      <w:t xml:space="preserve"> </w:t>
    </w:r>
    <w:r w:rsidRPr="00D141B6">
      <w:rPr>
        <w:b/>
      </w:rPr>
      <w:t>North West London Data Access Sub-Group</w:t>
    </w:r>
    <w:r>
      <w:rPr>
        <w:noProof/>
        <w:sz w:val="20"/>
      </w:rPr>
      <w:t xml:space="preserve"> Terms of Reference</w:t>
    </w:r>
    <w:r w:rsidRPr="00E529F1">
      <w:rPr>
        <w:noProof/>
        <w:sz w:val="20"/>
      </w:rPr>
      <w:fldChar w:fldCharType="end"/>
    </w:r>
    <w:r>
      <w:rPr>
        <w:noProof/>
        <w:sz w:val="20"/>
      </w:rPr>
      <w:tab/>
    </w:r>
    <w:sdt>
      <w:sdtPr>
        <w:rPr>
          <w:sz w:val="20"/>
        </w:rPr>
        <w:id w:val="1558129926"/>
        <w:docPartObj>
          <w:docPartGallery w:val="Page Numbers (Bottom of Page)"/>
          <w:docPartUnique/>
        </w:docPartObj>
      </w:sdtPr>
      <w:sdtEndPr>
        <w:rPr>
          <w:noProof/>
        </w:rPr>
      </w:sdtEndPr>
      <w:sdtContent>
        <w:r w:rsidRPr="00E529F1">
          <w:rPr>
            <w:sz w:val="20"/>
          </w:rPr>
          <w:fldChar w:fldCharType="begin"/>
        </w:r>
        <w:r w:rsidRPr="00E529F1">
          <w:rPr>
            <w:sz w:val="20"/>
          </w:rPr>
          <w:instrText xml:space="preserve"> PAGE   \* MERGEFORMAT </w:instrText>
        </w:r>
        <w:r w:rsidRPr="00E529F1">
          <w:rPr>
            <w:sz w:val="20"/>
          </w:rPr>
          <w:fldChar w:fldCharType="separate"/>
        </w:r>
        <w:r>
          <w:rPr>
            <w:noProof/>
            <w:sz w:val="20"/>
          </w:rPr>
          <w:t>6</w:t>
        </w:r>
        <w:r w:rsidRPr="00E529F1">
          <w:rPr>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BD668" w14:textId="568F7747" w:rsidR="00D312A2" w:rsidRPr="00A5420B" w:rsidRDefault="00D312A2" w:rsidP="00A5420B">
    <w:pPr>
      <w:pStyle w:val="Footer"/>
      <w:jc w:val="cen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7D82A" w14:textId="77777777" w:rsidR="00B33DDB" w:rsidRDefault="00B33DDB" w:rsidP="004837C6">
      <w:pPr>
        <w:spacing w:after="0" w:line="240" w:lineRule="auto"/>
      </w:pPr>
      <w:r>
        <w:separator/>
      </w:r>
    </w:p>
  </w:footnote>
  <w:footnote w:type="continuationSeparator" w:id="0">
    <w:p w14:paraId="46E40BBB" w14:textId="77777777" w:rsidR="00B33DDB" w:rsidRDefault="00B33DDB" w:rsidP="00483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AF23E" w14:textId="20CEF57C" w:rsidR="00D312A2" w:rsidRDefault="00D312A2" w:rsidP="00ED2521">
    <w:pPr>
      <w:pStyle w:val="Header"/>
      <w:ind w:hanging="709"/>
    </w:pPr>
    <w:r>
      <w:rPr>
        <w:noProof/>
        <w:lang w:eastAsia="en-GB"/>
      </w:rPr>
      <w:drawing>
        <wp:anchor distT="0" distB="0" distL="0" distR="0" simplePos="0" relativeHeight="251657216" behindDoc="1" locked="0" layoutInCell="1" allowOverlap="1" wp14:anchorId="09C58EF0" wp14:editId="0EF599FA">
          <wp:simplePos x="0" y="0"/>
          <wp:positionH relativeFrom="page">
            <wp:posOffset>5816009</wp:posOffset>
          </wp:positionH>
          <wp:positionV relativeFrom="page">
            <wp:posOffset>98070</wp:posOffset>
          </wp:positionV>
          <wp:extent cx="1651635" cy="106362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51635" cy="1063625"/>
                  </a:xfrm>
                  <a:prstGeom prst="rect">
                    <a:avLst/>
                  </a:prstGeom>
                </pic:spPr>
              </pic:pic>
            </a:graphicData>
          </a:graphic>
        </wp:anchor>
      </w:drawing>
    </w:r>
    <w:sdt>
      <w:sdtPr>
        <w:rPr>
          <w:highlight w:val="yellow"/>
        </w:rPr>
        <w:id w:val="499468753"/>
        <w:docPartObj>
          <w:docPartGallery w:val="Watermarks"/>
          <w:docPartUnique/>
        </w:docPartObj>
      </w:sdtPr>
      <w:sdtEndPr/>
      <w:sdtContent>
        <w:r w:rsidR="00B33DDB">
          <w:rPr>
            <w:noProof/>
            <w:highlight w:val="yellow"/>
          </w:rPr>
          <w:pict w14:anchorId="5B38E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Pr="00516D79">
      <w:rPr>
        <w:rFonts w:ascii="Times New Roman" w:eastAsia="Times New Roman" w:hAnsi="Times New Roman" w:cs="Times New Roman"/>
        <w:sz w:val="24"/>
        <w:szCs w:val="24"/>
        <w:lang w:eastAsia="en-GB"/>
      </w:rPr>
      <w:fldChar w:fldCharType="begin"/>
    </w:r>
    <w:r w:rsidR="00CF382F">
      <w:rPr>
        <w:rFonts w:ascii="Times New Roman" w:eastAsia="Times New Roman" w:hAnsi="Times New Roman" w:cs="Times New Roman"/>
        <w:sz w:val="24"/>
        <w:szCs w:val="24"/>
        <w:lang w:eastAsia="en-GB"/>
      </w:rPr>
      <w:instrText xml:space="preserve"> INCLUDEPICTURE "C:\\var\\folders\\6s\\dymb77_s5g98qbzx763mshxr0000gn\\T\\com.microsoft.Word\\WebArchiveCopyPasteTempFiles\\large-182826-gf.png" \* MERGEFORMAT </w:instrText>
    </w:r>
    <w:r w:rsidRPr="00516D79">
      <w:rPr>
        <w:rFonts w:ascii="Times New Roman" w:eastAsia="Times New Roman" w:hAnsi="Times New Roman" w:cs="Times New Roman"/>
        <w:sz w:val="24"/>
        <w:szCs w:val="24"/>
        <w:lang w:eastAsia="en-GB"/>
      </w:rPr>
      <w:fldChar w:fldCharType="separate"/>
    </w:r>
    <w:r w:rsidRPr="00516D79">
      <w:rPr>
        <w:rFonts w:ascii="Times New Roman" w:eastAsia="Times New Roman" w:hAnsi="Times New Roman" w:cs="Times New Roman"/>
        <w:noProof/>
        <w:sz w:val="24"/>
        <w:szCs w:val="24"/>
        <w:lang w:eastAsia="en-GB"/>
      </w:rPr>
      <w:drawing>
        <wp:inline distT="0" distB="0" distL="0" distR="0" wp14:anchorId="7D0467F1" wp14:editId="2D1488C1">
          <wp:extent cx="1526533" cy="564205"/>
          <wp:effectExtent l="0" t="0" r="0" b="0"/>
          <wp:docPr id="6" name="Picture 6" descr="Image result for north west london collaboration of cc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orth west london collaboration of cc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4117" cy="578096"/>
                  </a:xfrm>
                  <a:prstGeom prst="rect">
                    <a:avLst/>
                  </a:prstGeom>
                  <a:noFill/>
                  <a:ln>
                    <a:noFill/>
                  </a:ln>
                </pic:spPr>
              </pic:pic>
            </a:graphicData>
          </a:graphic>
        </wp:inline>
      </w:drawing>
    </w:r>
    <w:r w:rsidRPr="00516D79">
      <w:rPr>
        <w:rFonts w:ascii="Times New Roman" w:eastAsia="Times New Roman" w:hAnsi="Times New Roman" w:cs="Times New Roman"/>
        <w:sz w:val="24"/>
        <w:szCs w:val="24"/>
        <w:lang w:eastAsia="en-GB"/>
      </w:rPr>
      <w:fldChar w:fldCharType="end"/>
    </w:r>
    <w:r>
      <w:rPr>
        <w:rFonts w:ascii="Times New Roman" w:eastAsia="Times New Roman" w:hAnsi="Times New Roman" w:cs="Times New Roman"/>
        <w:sz w:val="24"/>
        <w:szCs w:val="24"/>
        <w:lang w:eastAsia="en-GB"/>
      </w:rPr>
      <w:t xml:space="preserve"> </w:t>
    </w:r>
  </w:p>
  <w:p w14:paraId="4B8BA477" w14:textId="28487536" w:rsidR="00D312A2" w:rsidRDefault="00D312A2" w:rsidP="00C14855">
    <w:pPr>
      <w:pStyle w:val="Header"/>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61E5"/>
    <w:multiLevelType w:val="hybridMultilevel"/>
    <w:tmpl w:val="BDCC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03B3A"/>
    <w:multiLevelType w:val="hybridMultilevel"/>
    <w:tmpl w:val="C158E4AC"/>
    <w:lvl w:ilvl="0" w:tplc="BDAE61B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B4A33"/>
    <w:multiLevelType w:val="hybridMultilevel"/>
    <w:tmpl w:val="B588A0AA"/>
    <w:lvl w:ilvl="0" w:tplc="BDAE61B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635F3"/>
    <w:multiLevelType w:val="hybridMultilevel"/>
    <w:tmpl w:val="EB0CEA10"/>
    <w:lvl w:ilvl="0" w:tplc="14A444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17F58"/>
    <w:multiLevelType w:val="hybridMultilevel"/>
    <w:tmpl w:val="4AF0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C38CA"/>
    <w:multiLevelType w:val="multilevel"/>
    <w:tmpl w:val="AA4C9F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06A0379"/>
    <w:multiLevelType w:val="hybridMultilevel"/>
    <w:tmpl w:val="11FA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6329D"/>
    <w:multiLevelType w:val="hybridMultilevel"/>
    <w:tmpl w:val="CF0A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F05CF"/>
    <w:multiLevelType w:val="hybridMultilevel"/>
    <w:tmpl w:val="2B28F6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BB5EA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B76FFD"/>
    <w:multiLevelType w:val="hybridMultilevel"/>
    <w:tmpl w:val="003EB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B420FA"/>
    <w:multiLevelType w:val="multilevel"/>
    <w:tmpl w:val="B592358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2E42B6E"/>
    <w:multiLevelType w:val="hybridMultilevel"/>
    <w:tmpl w:val="997A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E45919"/>
    <w:multiLevelType w:val="hybridMultilevel"/>
    <w:tmpl w:val="B46E5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B07C6"/>
    <w:multiLevelType w:val="hybridMultilevel"/>
    <w:tmpl w:val="ACCC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AE37A2"/>
    <w:multiLevelType w:val="multilevel"/>
    <w:tmpl w:val="AA4C9F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74A5867"/>
    <w:multiLevelType w:val="hybridMultilevel"/>
    <w:tmpl w:val="5A4A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80360C"/>
    <w:multiLevelType w:val="multilevel"/>
    <w:tmpl w:val="5B3A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125431"/>
    <w:multiLevelType w:val="hybridMultilevel"/>
    <w:tmpl w:val="9A58C9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BE35CC"/>
    <w:multiLevelType w:val="hybridMultilevel"/>
    <w:tmpl w:val="4FE44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0950EA"/>
    <w:multiLevelType w:val="multilevel"/>
    <w:tmpl w:val="D7DE135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none"/>
      <w:pStyle w:val="Heading4"/>
      <w:isLgl/>
      <w:lvlText w:val=""/>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9"/>
  </w:num>
  <w:num w:numId="2">
    <w:abstractNumId w:val="18"/>
  </w:num>
  <w:num w:numId="3">
    <w:abstractNumId w:val="8"/>
  </w:num>
  <w:num w:numId="4">
    <w:abstractNumId w:val="19"/>
  </w:num>
  <w:num w:numId="5">
    <w:abstractNumId w:val="14"/>
  </w:num>
  <w:num w:numId="6">
    <w:abstractNumId w:val="7"/>
  </w:num>
  <w:num w:numId="7">
    <w:abstractNumId w:val="20"/>
  </w:num>
  <w:num w:numId="8">
    <w:abstractNumId w:val="15"/>
  </w:num>
  <w:num w:numId="9">
    <w:abstractNumId w:val="3"/>
  </w:num>
  <w:num w:numId="10">
    <w:abstractNumId w:val="5"/>
  </w:num>
  <w:num w:numId="11">
    <w:abstractNumId w:val="11"/>
  </w:num>
  <w:num w:numId="12">
    <w:abstractNumId w:val="13"/>
  </w:num>
  <w:num w:numId="13">
    <w:abstractNumId w:val="6"/>
  </w:num>
  <w:num w:numId="14">
    <w:abstractNumId w:val="4"/>
  </w:num>
  <w:num w:numId="15">
    <w:abstractNumId w:val="10"/>
  </w:num>
  <w:num w:numId="16">
    <w:abstractNumId w:val="16"/>
  </w:num>
  <w:num w:numId="17">
    <w:abstractNumId w:val="12"/>
  </w:num>
  <w:num w:numId="18">
    <w:abstractNumId w:val="2"/>
  </w:num>
  <w:num w:numId="19">
    <w:abstractNumId w:val="0"/>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C6"/>
    <w:rsid w:val="0000125F"/>
    <w:rsid w:val="00002F71"/>
    <w:rsid w:val="00010C69"/>
    <w:rsid w:val="00011F81"/>
    <w:rsid w:val="00017D08"/>
    <w:rsid w:val="00020FAB"/>
    <w:rsid w:val="00025105"/>
    <w:rsid w:val="00032320"/>
    <w:rsid w:val="00036256"/>
    <w:rsid w:val="0004379C"/>
    <w:rsid w:val="00056EA0"/>
    <w:rsid w:val="000603B4"/>
    <w:rsid w:val="000630B7"/>
    <w:rsid w:val="00094184"/>
    <w:rsid w:val="000C7367"/>
    <w:rsid w:val="000D0CF3"/>
    <w:rsid w:val="000D5FE6"/>
    <w:rsid w:val="000E1BC4"/>
    <w:rsid w:val="000E46E5"/>
    <w:rsid w:val="0010281B"/>
    <w:rsid w:val="001033BF"/>
    <w:rsid w:val="00104FC2"/>
    <w:rsid w:val="00121081"/>
    <w:rsid w:val="0013126E"/>
    <w:rsid w:val="00133352"/>
    <w:rsid w:val="00146402"/>
    <w:rsid w:val="00152912"/>
    <w:rsid w:val="00155585"/>
    <w:rsid w:val="00163B68"/>
    <w:rsid w:val="0016527A"/>
    <w:rsid w:val="00170A22"/>
    <w:rsid w:val="00181320"/>
    <w:rsid w:val="001961BC"/>
    <w:rsid w:val="001E25FE"/>
    <w:rsid w:val="001E70CB"/>
    <w:rsid w:val="00202D20"/>
    <w:rsid w:val="002268CD"/>
    <w:rsid w:val="002330AD"/>
    <w:rsid w:val="002468B3"/>
    <w:rsid w:val="002554CE"/>
    <w:rsid w:val="00261861"/>
    <w:rsid w:val="00273C9C"/>
    <w:rsid w:val="00287A7E"/>
    <w:rsid w:val="00297705"/>
    <w:rsid w:val="002C1B27"/>
    <w:rsid w:val="002D7940"/>
    <w:rsid w:val="002E5131"/>
    <w:rsid w:val="002E66CA"/>
    <w:rsid w:val="002F1DE6"/>
    <w:rsid w:val="003016EE"/>
    <w:rsid w:val="00301D1F"/>
    <w:rsid w:val="00317A90"/>
    <w:rsid w:val="00337328"/>
    <w:rsid w:val="00341B2A"/>
    <w:rsid w:val="00342035"/>
    <w:rsid w:val="0034467C"/>
    <w:rsid w:val="00376CE6"/>
    <w:rsid w:val="00382CAF"/>
    <w:rsid w:val="00385EF9"/>
    <w:rsid w:val="00394F20"/>
    <w:rsid w:val="003D1953"/>
    <w:rsid w:val="003D54BE"/>
    <w:rsid w:val="00402C27"/>
    <w:rsid w:val="00413981"/>
    <w:rsid w:val="00413A64"/>
    <w:rsid w:val="00413BA9"/>
    <w:rsid w:val="00420174"/>
    <w:rsid w:val="00420297"/>
    <w:rsid w:val="0042210E"/>
    <w:rsid w:val="00460F84"/>
    <w:rsid w:val="004639A6"/>
    <w:rsid w:val="00463EAC"/>
    <w:rsid w:val="00470867"/>
    <w:rsid w:val="00471A9F"/>
    <w:rsid w:val="004837C6"/>
    <w:rsid w:val="00483F33"/>
    <w:rsid w:val="0048588F"/>
    <w:rsid w:val="00491221"/>
    <w:rsid w:val="004D186E"/>
    <w:rsid w:val="0050078B"/>
    <w:rsid w:val="00505213"/>
    <w:rsid w:val="00516FDA"/>
    <w:rsid w:val="0054144F"/>
    <w:rsid w:val="00544C29"/>
    <w:rsid w:val="00545E09"/>
    <w:rsid w:val="00550D48"/>
    <w:rsid w:val="0055184E"/>
    <w:rsid w:val="0055225B"/>
    <w:rsid w:val="005828CC"/>
    <w:rsid w:val="00586E78"/>
    <w:rsid w:val="005A1911"/>
    <w:rsid w:val="005A394B"/>
    <w:rsid w:val="005A5670"/>
    <w:rsid w:val="005A7603"/>
    <w:rsid w:val="005C7C73"/>
    <w:rsid w:val="005E70C9"/>
    <w:rsid w:val="005F1C88"/>
    <w:rsid w:val="00604A3C"/>
    <w:rsid w:val="00622122"/>
    <w:rsid w:val="00623DB1"/>
    <w:rsid w:val="006273AE"/>
    <w:rsid w:val="00630DEC"/>
    <w:rsid w:val="00653228"/>
    <w:rsid w:val="0067406D"/>
    <w:rsid w:val="00676F07"/>
    <w:rsid w:val="00687FEA"/>
    <w:rsid w:val="006A0151"/>
    <w:rsid w:val="006A1DC2"/>
    <w:rsid w:val="006A3863"/>
    <w:rsid w:val="006B18A2"/>
    <w:rsid w:val="006B29D7"/>
    <w:rsid w:val="006B7D60"/>
    <w:rsid w:val="006C78C3"/>
    <w:rsid w:val="006D6ACE"/>
    <w:rsid w:val="006E52ED"/>
    <w:rsid w:val="00706612"/>
    <w:rsid w:val="00706F15"/>
    <w:rsid w:val="007110A4"/>
    <w:rsid w:val="00714583"/>
    <w:rsid w:val="00725462"/>
    <w:rsid w:val="00726D80"/>
    <w:rsid w:val="00732372"/>
    <w:rsid w:val="00741AFC"/>
    <w:rsid w:val="00755336"/>
    <w:rsid w:val="0076133D"/>
    <w:rsid w:val="00777F58"/>
    <w:rsid w:val="007A5572"/>
    <w:rsid w:val="007B0556"/>
    <w:rsid w:val="00801A13"/>
    <w:rsid w:val="00815C53"/>
    <w:rsid w:val="00835B25"/>
    <w:rsid w:val="0084076A"/>
    <w:rsid w:val="00844B47"/>
    <w:rsid w:val="00855090"/>
    <w:rsid w:val="008732F0"/>
    <w:rsid w:val="008752F1"/>
    <w:rsid w:val="00876321"/>
    <w:rsid w:val="0087726D"/>
    <w:rsid w:val="008960E0"/>
    <w:rsid w:val="0089732C"/>
    <w:rsid w:val="008B5574"/>
    <w:rsid w:val="008C0AA9"/>
    <w:rsid w:val="008D3599"/>
    <w:rsid w:val="008D4B55"/>
    <w:rsid w:val="008E14B4"/>
    <w:rsid w:val="008E6E77"/>
    <w:rsid w:val="00900A25"/>
    <w:rsid w:val="009121C8"/>
    <w:rsid w:val="00912E36"/>
    <w:rsid w:val="00916FEA"/>
    <w:rsid w:val="00943173"/>
    <w:rsid w:val="00946A03"/>
    <w:rsid w:val="00951468"/>
    <w:rsid w:val="009617E2"/>
    <w:rsid w:val="009645E9"/>
    <w:rsid w:val="0097738B"/>
    <w:rsid w:val="00983013"/>
    <w:rsid w:val="00984E7F"/>
    <w:rsid w:val="009907FB"/>
    <w:rsid w:val="009A2870"/>
    <w:rsid w:val="009B2FB1"/>
    <w:rsid w:val="009C0380"/>
    <w:rsid w:val="009C4DF5"/>
    <w:rsid w:val="009D5DB5"/>
    <w:rsid w:val="009D73E3"/>
    <w:rsid w:val="009E3F64"/>
    <w:rsid w:val="009E5DA1"/>
    <w:rsid w:val="009E759D"/>
    <w:rsid w:val="009F5483"/>
    <w:rsid w:val="00A0019D"/>
    <w:rsid w:val="00A0121C"/>
    <w:rsid w:val="00A018B7"/>
    <w:rsid w:val="00A12B6C"/>
    <w:rsid w:val="00A24843"/>
    <w:rsid w:val="00A2752A"/>
    <w:rsid w:val="00A31EB7"/>
    <w:rsid w:val="00A5048E"/>
    <w:rsid w:val="00A5420B"/>
    <w:rsid w:val="00A54374"/>
    <w:rsid w:val="00A576AA"/>
    <w:rsid w:val="00A76509"/>
    <w:rsid w:val="00A778F0"/>
    <w:rsid w:val="00A979CF"/>
    <w:rsid w:val="00AA7434"/>
    <w:rsid w:val="00AB444C"/>
    <w:rsid w:val="00AB632B"/>
    <w:rsid w:val="00AC4CBB"/>
    <w:rsid w:val="00AD3BCC"/>
    <w:rsid w:val="00AD5835"/>
    <w:rsid w:val="00AE095D"/>
    <w:rsid w:val="00AE138A"/>
    <w:rsid w:val="00B001E0"/>
    <w:rsid w:val="00B05B89"/>
    <w:rsid w:val="00B1714E"/>
    <w:rsid w:val="00B26D6A"/>
    <w:rsid w:val="00B33DDB"/>
    <w:rsid w:val="00B36614"/>
    <w:rsid w:val="00B37862"/>
    <w:rsid w:val="00B4209C"/>
    <w:rsid w:val="00B43946"/>
    <w:rsid w:val="00B463B9"/>
    <w:rsid w:val="00B754C3"/>
    <w:rsid w:val="00B87F13"/>
    <w:rsid w:val="00B922A5"/>
    <w:rsid w:val="00BB63A9"/>
    <w:rsid w:val="00BB69FD"/>
    <w:rsid w:val="00BC2F81"/>
    <w:rsid w:val="00BC7D2A"/>
    <w:rsid w:val="00BF015A"/>
    <w:rsid w:val="00BF5ECA"/>
    <w:rsid w:val="00C14855"/>
    <w:rsid w:val="00C14F1F"/>
    <w:rsid w:val="00C27658"/>
    <w:rsid w:val="00C302CB"/>
    <w:rsid w:val="00C33DEA"/>
    <w:rsid w:val="00C5645D"/>
    <w:rsid w:val="00C56B73"/>
    <w:rsid w:val="00C57D01"/>
    <w:rsid w:val="00CC4C1F"/>
    <w:rsid w:val="00CC7B80"/>
    <w:rsid w:val="00CD71CC"/>
    <w:rsid w:val="00CE0101"/>
    <w:rsid w:val="00CF382F"/>
    <w:rsid w:val="00D141B6"/>
    <w:rsid w:val="00D2246D"/>
    <w:rsid w:val="00D312A2"/>
    <w:rsid w:val="00D345B3"/>
    <w:rsid w:val="00D66297"/>
    <w:rsid w:val="00D73F90"/>
    <w:rsid w:val="00D81F4B"/>
    <w:rsid w:val="00DB2252"/>
    <w:rsid w:val="00DB42F9"/>
    <w:rsid w:val="00DC379E"/>
    <w:rsid w:val="00DC5548"/>
    <w:rsid w:val="00DD64A8"/>
    <w:rsid w:val="00DD65AE"/>
    <w:rsid w:val="00DE4897"/>
    <w:rsid w:val="00DE6427"/>
    <w:rsid w:val="00E00061"/>
    <w:rsid w:val="00E125C1"/>
    <w:rsid w:val="00E15E87"/>
    <w:rsid w:val="00E16F97"/>
    <w:rsid w:val="00E17611"/>
    <w:rsid w:val="00E30802"/>
    <w:rsid w:val="00E31A18"/>
    <w:rsid w:val="00E50A3C"/>
    <w:rsid w:val="00E529F1"/>
    <w:rsid w:val="00E60F2E"/>
    <w:rsid w:val="00E737D7"/>
    <w:rsid w:val="00E7482A"/>
    <w:rsid w:val="00E75684"/>
    <w:rsid w:val="00E900A8"/>
    <w:rsid w:val="00E943D7"/>
    <w:rsid w:val="00EA7DBD"/>
    <w:rsid w:val="00EB69EB"/>
    <w:rsid w:val="00EC3237"/>
    <w:rsid w:val="00EC6151"/>
    <w:rsid w:val="00ED2521"/>
    <w:rsid w:val="00ED6358"/>
    <w:rsid w:val="00EE1BAB"/>
    <w:rsid w:val="00EE73A1"/>
    <w:rsid w:val="00EF77CE"/>
    <w:rsid w:val="00F040CE"/>
    <w:rsid w:val="00F11127"/>
    <w:rsid w:val="00F14F2F"/>
    <w:rsid w:val="00F21075"/>
    <w:rsid w:val="00F217AE"/>
    <w:rsid w:val="00F25395"/>
    <w:rsid w:val="00F335C0"/>
    <w:rsid w:val="00F35491"/>
    <w:rsid w:val="00F36B38"/>
    <w:rsid w:val="00F36D77"/>
    <w:rsid w:val="00F45550"/>
    <w:rsid w:val="00F51D19"/>
    <w:rsid w:val="00F52918"/>
    <w:rsid w:val="00F52C10"/>
    <w:rsid w:val="00F52E01"/>
    <w:rsid w:val="00F65F35"/>
    <w:rsid w:val="00FA067C"/>
    <w:rsid w:val="00FA1E77"/>
    <w:rsid w:val="00FD2FB3"/>
    <w:rsid w:val="00FD3D07"/>
    <w:rsid w:val="00FE650A"/>
    <w:rsid w:val="00FF0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4D117F"/>
  <w15:docId w15:val="{116547AE-F7F4-46C2-9E20-5ED4B86E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C6"/>
  </w:style>
  <w:style w:type="paragraph" w:styleId="Heading1">
    <w:name w:val="heading 1"/>
    <w:basedOn w:val="Normal"/>
    <w:next w:val="Normal"/>
    <w:link w:val="Heading1Char"/>
    <w:uiPriority w:val="9"/>
    <w:qFormat/>
    <w:rsid w:val="00413BA9"/>
    <w:pPr>
      <w:keepNext/>
      <w:keepLines/>
      <w:numPr>
        <w:numId w:val="7"/>
      </w:numPr>
      <w:spacing w:before="240" w:after="240"/>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13BA9"/>
    <w:pPr>
      <w:keepNext/>
      <w:keepLines/>
      <w:numPr>
        <w:ilvl w:val="1"/>
        <w:numId w:val="7"/>
      </w:numPr>
      <w:spacing w:before="24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13BA9"/>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13BA9"/>
    <w:pPr>
      <w:keepNext/>
      <w:keepLines/>
      <w:numPr>
        <w:ilvl w:val="3"/>
        <w:numId w:val="7"/>
      </w:numPr>
      <w:spacing w:before="40" w:after="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unhideWhenUsed/>
    <w:qFormat/>
    <w:rsid w:val="00413BA9"/>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13BA9"/>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BA9"/>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13BA9"/>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BA9"/>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3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7C6"/>
    <w:pPr>
      <w:ind w:left="720"/>
      <w:contextualSpacing/>
    </w:pPr>
  </w:style>
  <w:style w:type="paragraph" w:customStyle="1" w:styleId="Default">
    <w:name w:val="Default"/>
    <w:rsid w:val="004837C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83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7C6"/>
  </w:style>
  <w:style w:type="paragraph" w:styleId="Footer">
    <w:name w:val="footer"/>
    <w:basedOn w:val="Normal"/>
    <w:link w:val="FooterChar"/>
    <w:uiPriority w:val="99"/>
    <w:unhideWhenUsed/>
    <w:rsid w:val="00483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7C6"/>
  </w:style>
  <w:style w:type="character" w:styleId="CommentReference">
    <w:name w:val="annotation reference"/>
    <w:basedOn w:val="DefaultParagraphFont"/>
    <w:uiPriority w:val="99"/>
    <w:semiHidden/>
    <w:unhideWhenUsed/>
    <w:rsid w:val="00726D80"/>
    <w:rPr>
      <w:sz w:val="16"/>
      <w:szCs w:val="16"/>
    </w:rPr>
  </w:style>
  <w:style w:type="paragraph" w:styleId="CommentText">
    <w:name w:val="annotation text"/>
    <w:basedOn w:val="Normal"/>
    <w:link w:val="CommentTextChar"/>
    <w:uiPriority w:val="99"/>
    <w:semiHidden/>
    <w:unhideWhenUsed/>
    <w:rsid w:val="00726D80"/>
    <w:pPr>
      <w:spacing w:line="240" w:lineRule="auto"/>
    </w:pPr>
    <w:rPr>
      <w:sz w:val="20"/>
      <w:szCs w:val="20"/>
    </w:rPr>
  </w:style>
  <w:style w:type="character" w:customStyle="1" w:styleId="CommentTextChar">
    <w:name w:val="Comment Text Char"/>
    <w:basedOn w:val="DefaultParagraphFont"/>
    <w:link w:val="CommentText"/>
    <w:uiPriority w:val="99"/>
    <w:semiHidden/>
    <w:rsid w:val="00726D80"/>
    <w:rPr>
      <w:sz w:val="20"/>
      <w:szCs w:val="20"/>
    </w:rPr>
  </w:style>
  <w:style w:type="paragraph" w:styleId="CommentSubject">
    <w:name w:val="annotation subject"/>
    <w:basedOn w:val="CommentText"/>
    <w:next w:val="CommentText"/>
    <w:link w:val="CommentSubjectChar"/>
    <w:uiPriority w:val="99"/>
    <w:semiHidden/>
    <w:unhideWhenUsed/>
    <w:rsid w:val="00726D80"/>
    <w:rPr>
      <w:b/>
      <w:bCs/>
    </w:rPr>
  </w:style>
  <w:style w:type="character" w:customStyle="1" w:styleId="CommentSubjectChar">
    <w:name w:val="Comment Subject Char"/>
    <w:basedOn w:val="CommentTextChar"/>
    <w:link w:val="CommentSubject"/>
    <w:uiPriority w:val="99"/>
    <w:semiHidden/>
    <w:rsid w:val="00726D80"/>
    <w:rPr>
      <w:b/>
      <w:bCs/>
      <w:sz w:val="20"/>
      <w:szCs w:val="20"/>
    </w:rPr>
  </w:style>
  <w:style w:type="paragraph" w:styleId="BalloonText">
    <w:name w:val="Balloon Text"/>
    <w:basedOn w:val="Normal"/>
    <w:link w:val="BalloonTextChar"/>
    <w:uiPriority w:val="99"/>
    <w:semiHidden/>
    <w:unhideWhenUsed/>
    <w:rsid w:val="00726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D80"/>
    <w:rPr>
      <w:rFonts w:ascii="Tahoma" w:hAnsi="Tahoma" w:cs="Tahoma"/>
      <w:sz w:val="16"/>
      <w:szCs w:val="16"/>
    </w:rPr>
  </w:style>
  <w:style w:type="character" w:styleId="Hyperlink">
    <w:name w:val="Hyperlink"/>
    <w:basedOn w:val="DefaultParagraphFont"/>
    <w:uiPriority w:val="99"/>
    <w:unhideWhenUsed/>
    <w:rsid w:val="00855090"/>
    <w:rPr>
      <w:color w:val="0563C1" w:themeColor="hyperlink"/>
      <w:u w:val="single"/>
    </w:rPr>
  </w:style>
  <w:style w:type="character" w:customStyle="1" w:styleId="Heading1Char">
    <w:name w:val="Heading 1 Char"/>
    <w:basedOn w:val="DefaultParagraphFont"/>
    <w:link w:val="Heading1"/>
    <w:uiPriority w:val="9"/>
    <w:rsid w:val="00413BA9"/>
    <w:rPr>
      <w:rFonts w:asciiTheme="majorHAnsi" w:eastAsiaTheme="majorEastAsia" w:hAnsiTheme="majorHAnsi" w:cstheme="majorBidi"/>
      <w:color w:val="2E74B5" w:themeColor="accent1" w:themeShade="BF"/>
      <w:sz w:val="36"/>
      <w:szCs w:val="32"/>
    </w:rPr>
  </w:style>
  <w:style w:type="character" w:customStyle="1" w:styleId="Heading2Char">
    <w:name w:val="Heading 2 Char"/>
    <w:basedOn w:val="DefaultParagraphFont"/>
    <w:link w:val="Heading2"/>
    <w:uiPriority w:val="9"/>
    <w:rsid w:val="00413BA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13BA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13BA9"/>
    <w:rPr>
      <w:rFonts w:asciiTheme="majorHAnsi" w:eastAsiaTheme="majorEastAsia" w:hAnsiTheme="majorHAnsi" w:cstheme="majorBidi"/>
      <w:iCs/>
    </w:rPr>
  </w:style>
  <w:style w:type="character" w:customStyle="1" w:styleId="Heading5Char">
    <w:name w:val="Heading 5 Char"/>
    <w:basedOn w:val="DefaultParagraphFont"/>
    <w:link w:val="Heading5"/>
    <w:uiPriority w:val="9"/>
    <w:semiHidden/>
    <w:rsid w:val="00413BA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13BA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BA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13BA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BA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AC4C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CBB"/>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5A19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128096">
      <w:bodyDiv w:val="1"/>
      <w:marLeft w:val="0"/>
      <w:marRight w:val="0"/>
      <w:marTop w:val="0"/>
      <w:marBottom w:val="0"/>
      <w:divBdr>
        <w:top w:val="none" w:sz="0" w:space="0" w:color="auto"/>
        <w:left w:val="none" w:sz="0" w:space="0" w:color="auto"/>
        <w:bottom w:val="none" w:sz="0" w:space="0" w:color="auto"/>
        <w:right w:val="none" w:sz="0" w:space="0" w:color="auto"/>
      </w:divBdr>
    </w:div>
    <w:div w:id="1296717461">
      <w:bodyDiv w:val="1"/>
      <w:marLeft w:val="0"/>
      <w:marRight w:val="0"/>
      <w:marTop w:val="0"/>
      <w:marBottom w:val="0"/>
      <w:divBdr>
        <w:top w:val="none" w:sz="0" w:space="0" w:color="auto"/>
        <w:left w:val="none" w:sz="0" w:space="0" w:color="auto"/>
        <w:bottom w:val="none" w:sz="0" w:space="0" w:color="auto"/>
        <w:right w:val="none" w:sz="0" w:space="0" w:color="auto"/>
      </w:divBdr>
      <w:divsChild>
        <w:div w:id="1738092296">
          <w:marLeft w:val="0"/>
          <w:marRight w:val="0"/>
          <w:marTop w:val="0"/>
          <w:marBottom w:val="0"/>
          <w:divBdr>
            <w:top w:val="none" w:sz="0" w:space="0" w:color="auto"/>
            <w:left w:val="none" w:sz="0" w:space="0" w:color="auto"/>
            <w:bottom w:val="none" w:sz="0" w:space="0" w:color="auto"/>
            <w:right w:val="none" w:sz="0" w:space="0" w:color="auto"/>
          </w:divBdr>
          <w:divsChild>
            <w:div w:id="1680084242">
              <w:marLeft w:val="0"/>
              <w:marRight w:val="0"/>
              <w:marTop w:val="0"/>
              <w:marBottom w:val="0"/>
              <w:divBdr>
                <w:top w:val="none" w:sz="0" w:space="0" w:color="auto"/>
                <w:left w:val="none" w:sz="0" w:space="0" w:color="auto"/>
                <w:bottom w:val="none" w:sz="0" w:space="0" w:color="auto"/>
                <w:right w:val="none" w:sz="0" w:space="0" w:color="auto"/>
              </w:divBdr>
              <w:divsChild>
                <w:div w:id="742072014">
                  <w:marLeft w:val="0"/>
                  <w:marRight w:val="0"/>
                  <w:marTop w:val="0"/>
                  <w:marBottom w:val="0"/>
                  <w:divBdr>
                    <w:top w:val="none" w:sz="0" w:space="0" w:color="auto"/>
                    <w:left w:val="none" w:sz="0" w:space="0" w:color="auto"/>
                    <w:bottom w:val="none" w:sz="0" w:space="0" w:color="auto"/>
                    <w:right w:val="none" w:sz="0" w:space="0" w:color="auto"/>
                  </w:divBdr>
                  <w:divsChild>
                    <w:div w:id="18921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7712">
      <w:bodyDiv w:val="1"/>
      <w:marLeft w:val="0"/>
      <w:marRight w:val="0"/>
      <w:marTop w:val="0"/>
      <w:marBottom w:val="0"/>
      <w:divBdr>
        <w:top w:val="none" w:sz="0" w:space="0" w:color="auto"/>
        <w:left w:val="none" w:sz="0" w:space="0" w:color="auto"/>
        <w:bottom w:val="none" w:sz="0" w:space="0" w:color="auto"/>
        <w:right w:val="none" w:sz="0" w:space="0" w:color="auto"/>
      </w:divBdr>
    </w:div>
    <w:div w:id="1422871250">
      <w:bodyDiv w:val="1"/>
      <w:marLeft w:val="0"/>
      <w:marRight w:val="0"/>
      <w:marTop w:val="0"/>
      <w:marBottom w:val="0"/>
      <w:divBdr>
        <w:top w:val="none" w:sz="0" w:space="0" w:color="auto"/>
        <w:left w:val="none" w:sz="0" w:space="0" w:color="auto"/>
        <w:bottom w:val="none" w:sz="0" w:space="0" w:color="auto"/>
        <w:right w:val="none" w:sz="0" w:space="0" w:color="auto"/>
      </w:divBdr>
    </w:div>
    <w:div w:id="1949585038">
      <w:bodyDiv w:val="1"/>
      <w:marLeft w:val="0"/>
      <w:marRight w:val="0"/>
      <w:marTop w:val="0"/>
      <w:marBottom w:val="0"/>
      <w:divBdr>
        <w:top w:val="none" w:sz="0" w:space="0" w:color="auto"/>
        <w:left w:val="none" w:sz="0" w:space="0" w:color="auto"/>
        <w:bottom w:val="none" w:sz="0" w:space="0" w:color="auto"/>
        <w:right w:val="none" w:sz="0" w:space="0" w:color="auto"/>
      </w:divBdr>
      <w:divsChild>
        <w:div w:id="1765879307">
          <w:marLeft w:val="0"/>
          <w:marRight w:val="0"/>
          <w:marTop w:val="0"/>
          <w:marBottom w:val="0"/>
          <w:divBdr>
            <w:top w:val="none" w:sz="0" w:space="0" w:color="auto"/>
            <w:left w:val="none" w:sz="0" w:space="0" w:color="auto"/>
            <w:bottom w:val="none" w:sz="0" w:space="0" w:color="auto"/>
            <w:right w:val="none" w:sz="0" w:space="0" w:color="auto"/>
          </w:divBdr>
          <w:divsChild>
            <w:div w:id="1946647540">
              <w:marLeft w:val="0"/>
              <w:marRight w:val="0"/>
              <w:marTop w:val="0"/>
              <w:marBottom w:val="0"/>
              <w:divBdr>
                <w:top w:val="none" w:sz="0" w:space="0" w:color="auto"/>
                <w:left w:val="none" w:sz="0" w:space="0" w:color="auto"/>
                <w:bottom w:val="none" w:sz="0" w:space="0" w:color="auto"/>
                <w:right w:val="none" w:sz="0" w:space="0" w:color="auto"/>
              </w:divBdr>
              <w:divsChild>
                <w:div w:id="1989821644">
                  <w:marLeft w:val="0"/>
                  <w:marRight w:val="0"/>
                  <w:marTop w:val="0"/>
                  <w:marBottom w:val="0"/>
                  <w:divBdr>
                    <w:top w:val="none" w:sz="0" w:space="0" w:color="auto"/>
                    <w:left w:val="none" w:sz="0" w:space="0" w:color="auto"/>
                    <w:bottom w:val="none" w:sz="0" w:space="0" w:color="auto"/>
                    <w:right w:val="none" w:sz="0" w:space="0" w:color="auto"/>
                  </w:divBdr>
                  <w:divsChild>
                    <w:div w:id="5212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294CD79565744DBCE3B1B6CC9660F4" ma:contentTypeVersion="9" ma:contentTypeDescription="Create a new document." ma:contentTypeScope="" ma:versionID="2cd41de70bea8ea35c3c15ed93fecbdd">
  <xsd:schema xmlns:xsd="http://www.w3.org/2001/XMLSchema" xmlns:xs="http://www.w3.org/2001/XMLSchema" xmlns:p="http://schemas.microsoft.com/office/2006/metadata/properties" xmlns:ns2="e7fb9bad-05aa-461c-addc-7d8f2572d5d3" xmlns:ns3="37d011f5-24c4-4fb4-8405-b8c6b5679487" targetNamespace="http://schemas.microsoft.com/office/2006/metadata/properties" ma:root="true" ma:fieldsID="4ad4f22cc979a6e210134c28a685dd97" ns2:_="" ns3:_="">
    <xsd:import namespace="e7fb9bad-05aa-461c-addc-7d8f2572d5d3"/>
    <xsd:import namespace="37d011f5-24c4-4fb4-8405-b8c6b567948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b9bad-05aa-461c-addc-7d8f2572d5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d011f5-24c4-4fb4-8405-b8c6b567948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BB177-5FAA-45F8-A43C-43CC3336A1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CDA501-37E8-490C-8171-E632B751C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b9bad-05aa-461c-addc-7d8f2572d5d3"/>
    <ds:schemaRef ds:uri="37d011f5-24c4-4fb4-8405-b8c6b5679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35282-67B3-46D6-BA60-6DBFDB41F8D5}">
  <ds:schemaRefs>
    <ds:schemaRef ds:uri="http://schemas.microsoft.com/sharepoint/v3/contenttype/forms"/>
  </ds:schemaRefs>
</ds:datastoreItem>
</file>

<file path=customXml/itemProps4.xml><?xml version="1.0" encoding="utf-8"?>
<ds:datastoreItem xmlns:ds="http://schemas.openxmlformats.org/officeDocument/2006/customXml" ds:itemID="{4BBBDC77-1820-41D3-9B46-6E28FFCE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2373</Words>
  <Characters>13529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Information Governance Services Ltd</Company>
  <LinksUpToDate>false</LinksUpToDate>
  <CharactersWithSpaces>15871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 Sallamuddin</dc:creator>
  <cp:keywords/>
  <dc:description/>
  <cp:lastModifiedBy>Maria Ilias</cp:lastModifiedBy>
  <cp:revision>2</cp:revision>
  <cp:lastPrinted>2017-04-19T14:23:00Z</cp:lastPrinted>
  <dcterms:created xsi:type="dcterms:W3CDTF">2020-04-20T09:28:00Z</dcterms:created>
  <dcterms:modified xsi:type="dcterms:W3CDTF">2020-04-20T09:28:00Z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0x0101005C294CD79565744DBCE3B1B6CC9660F4</vt:lpwstr>
  </property>
</Properties>
</file>